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rPr>
          <w:rFonts w:ascii="PT Astra Serif" w:hAnsi="PT Astra Serif" w:cs="PT Astra Serif"/>
          <w:b/>
          <w:sz w:val="27"/>
          <w:szCs w:val="27"/>
        </w:rPr>
        <w:pBdr>
          <w:bottom w:val="single" w:color="000000" w:sz="12" w:space="1"/>
        </w:pBdr>
      </w:pPr>
      <w:r>
        <w:rPr>
          <w:rFonts w:ascii="PT Astra Serif" w:hAnsi="PT Astra Serif" w:eastAsia="PT Astra Serif" w:cs="PT Astra Serif"/>
          <w:b/>
          <w:sz w:val="27"/>
          <w:szCs w:val="27"/>
        </w:rPr>
        <w:t xml:space="preserve">Информационные материалы </w:t>
      </w:r>
      <w:r>
        <w:rPr>
          <w:rFonts w:ascii="PT Astra Serif" w:hAnsi="PT Astra Serif" w:eastAsia="PT Astra Serif" w:cs="PT Astra Serif"/>
          <w:b/>
          <w:sz w:val="27"/>
          <w:szCs w:val="27"/>
        </w:rPr>
        <w:br/>
        <w:t xml:space="preserve">к внеочередному заседанию МВК</w:t>
      </w:r>
      <w:r>
        <w:rPr>
          <w:rFonts w:ascii="PT Astra Serif" w:hAnsi="PT Astra Serif" w:cs="PT Astra Serif"/>
          <w:b/>
          <w:sz w:val="27"/>
          <w:szCs w:val="27"/>
        </w:rPr>
      </w:r>
      <w:r>
        <w:rPr>
          <w:rFonts w:ascii="PT Astra Serif" w:hAnsi="PT Astra Serif" w:cs="PT Astra Serif"/>
          <w:b/>
          <w:sz w:val="27"/>
          <w:szCs w:val="27"/>
        </w:rPr>
      </w:r>
    </w:p>
    <w:p>
      <w:pPr>
        <w:ind w:left="5812"/>
        <w:jc w:val="center"/>
        <w:rPr>
          <w:rFonts w:ascii="PT Astra Serif" w:hAnsi="PT Astra Serif" w:cs="PT Astra Serif"/>
          <w:b/>
          <w:sz w:val="27"/>
          <w:szCs w:val="27"/>
        </w:rPr>
      </w:pPr>
      <w:r>
        <w:rPr>
          <w:rFonts w:ascii="PT Astra Serif" w:hAnsi="PT Astra Serif" w:eastAsia="PT Astra Serif" w:cs="PT Astra Serif"/>
          <w:b/>
          <w:sz w:val="27"/>
          <w:szCs w:val="27"/>
        </w:rPr>
      </w:r>
      <w:r>
        <w:rPr>
          <w:rFonts w:ascii="PT Astra Serif" w:hAnsi="PT Astra Serif" w:cs="PT Astra Serif"/>
          <w:b/>
          <w:sz w:val="27"/>
          <w:szCs w:val="27"/>
        </w:rPr>
      </w:r>
      <w:r>
        <w:rPr>
          <w:rFonts w:ascii="PT Astra Serif" w:hAnsi="PT Astra Serif" w:cs="PT Astra Serif"/>
          <w:b/>
          <w:sz w:val="27"/>
          <w:szCs w:val="27"/>
        </w:rPr>
      </w:r>
    </w:p>
    <w:tbl>
      <w:tblPr>
        <w:tblStyle w:val="945"/>
        <w:tblW w:w="4736" w:type="pct"/>
        <w:tblInd w:w="816" w:type="dxa"/>
        <w:tblLayout w:type="fixed"/>
        <w:tblLook w:val="04A0" w:firstRow="1" w:lastRow="0" w:firstColumn="1" w:lastColumn="0" w:noHBand="0" w:noVBand="1"/>
      </w:tblPr>
      <w:tblGrid>
        <w:gridCol w:w="638"/>
        <w:gridCol w:w="7019"/>
        <w:gridCol w:w="7019"/>
        <w:gridCol w:w="7019"/>
      </w:tblGrid>
      <w:tr>
        <w:tblPrEx/>
        <w:trPr>
          <w:trHeight w:val="254"/>
        </w:trPr>
        <w:tc>
          <w:tcPr>
            <w:tcW w:w="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b/>
                <w:sz w:val="27"/>
                <w:szCs w:val="27"/>
              </w:rPr>
            </w:r>
            <w:r>
              <w:rPr>
                <w:rFonts w:ascii="PT Astra Serif" w:hAnsi="PT Astra Serif" w:cs="PT Astra Serif"/>
                <w:b/>
                <w:sz w:val="27"/>
                <w:szCs w:val="27"/>
              </w:rPr>
            </w:r>
            <w:r>
              <w:rPr>
                <w:rFonts w:ascii="PT Astra Serif" w:hAnsi="PT Astra Serif" w:cs="PT Astra Serif"/>
                <w:b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b/>
                <w:sz w:val="27"/>
                <w:szCs w:val="27"/>
              </w:rPr>
              <w:t xml:space="preserve">Информация</w:t>
            </w:r>
            <w:r>
              <w:rPr>
                <w:rFonts w:ascii="PT Astra Serif" w:hAnsi="PT Astra Serif" w:cs="PT Astra Serif"/>
                <w:b/>
                <w:sz w:val="27"/>
                <w:szCs w:val="27"/>
              </w:rPr>
            </w:r>
            <w:r>
              <w:rPr>
                <w:rFonts w:ascii="PT Astra Serif" w:hAnsi="PT Astra Serif" w:cs="PT Astra Serif"/>
                <w:b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7"/>
                <w:szCs w:val="27"/>
              </w:rPr>
              <w:t xml:space="preserve">Аэрофлот</w:t>
            </w:r>
            <w:r>
              <w:rPr>
                <w:rFonts w:ascii="PT Astra Serif" w:hAnsi="PT Astra Serif" w:cs="PT Astra Serif"/>
                <w:b/>
                <w:bCs/>
                <w:sz w:val="27"/>
                <w:szCs w:val="27"/>
              </w:rPr>
            </w:r>
            <w:r>
              <w:rPr>
                <w:rFonts w:ascii="PT Astra Serif" w:hAnsi="PT Astra Serif" w:cs="PT Astra Serif"/>
                <w:b/>
                <w:bCs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7"/>
                <w:szCs w:val="27"/>
              </w:rPr>
              <w:t xml:space="preserve">ИрАэро</w:t>
            </w:r>
            <w:r>
              <w:rPr>
                <w:rFonts w:ascii="PT Astra Serif" w:hAnsi="PT Astra Serif" w:eastAsia="PT Astra Serif" w:cs="PT Astra Serif"/>
                <w:b/>
                <w:bCs/>
                <w:sz w:val="27"/>
                <w:szCs w:val="27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7"/>
                <w:szCs w:val="27"/>
              </w:rPr>
            </w:r>
          </w:p>
        </w:tc>
      </w:tr>
      <w:tr>
        <w:tblPrEx/>
        <w:trPr>
          <w:trHeight w:val="254"/>
        </w:trPr>
        <w:tc>
          <w:tcPr>
            <w:tcW w:w="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1.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7"/>
                <w:szCs w:val="27"/>
              </w:rPr>
              <w:t xml:space="preserve">Общее количество воздушных судов</w:t>
            </w:r>
            <w:r>
              <w:rPr>
                <w:rFonts w:ascii="PT Astra Serif" w:hAnsi="PT Astra Serif" w:eastAsia="PT Astra Serif" w:cs="PT Astra Serif"/>
                <w:color w:val="auto"/>
                <w:sz w:val="27"/>
                <w:szCs w:val="27"/>
              </w:rPr>
              <w:t xml:space="preserve">, указанных в сертификате эксплуатанта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PT Astra Serif" w:cs="PT Astra Serif" w:asciiTheme="minorHAnsi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169</w:t>
            </w:r>
            <w:r>
              <w:rPr>
                <w:rFonts w:eastAsia="PT Astra Serif" w:cs="PT Astra Serif" w:asciiTheme="minorHAnsi"/>
                <w:sz w:val="27"/>
                <w:szCs w:val="27"/>
              </w:rPr>
            </w:r>
            <w:r>
              <w:rPr>
                <w:rFonts w:eastAsia="PT Astra Serif" w:cs="PT Astra Serif" w:asciiTheme="minorHAnsi"/>
                <w:sz w:val="27"/>
                <w:szCs w:val="27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asciiTheme="minorHAnsi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lang w:val="en-US"/>
              </w:rPr>
              <w:t xml:space="preserve">32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  <w:lang w:val="en-US"/>
              </w:rPr>
            </w:r>
            <w:r>
              <w:rPr>
                <w:rFonts w:ascii="PT Astra Serif" w:hAnsi="PT Astra Serif" w:cs="PT Astra Serif" w:asciiTheme="minorHAnsi"/>
                <w:sz w:val="27"/>
                <w:szCs w:val="27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</w:tr>
      <w:tr>
        <w:tblPrEx/>
        <w:trPr>
          <w:trHeight w:val="1045"/>
        </w:trPr>
        <w:tc>
          <w:tcPr>
            <w:tcW w:w="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2.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Количество ВС, находящихся в российском реестре ВС (дополнительно в процентах к общему числу ВС)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PT Astra Serif" w:cs="PT Astra Serif" w:asciiTheme="minorHAnsi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169 (100%)</w:t>
            </w:r>
            <w:r>
              <w:rPr>
                <w:rFonts w:eastAsia="PT Astra Serif" w:cs="PT Astra Serif" w:asciiTheme="minorHAnsi"/>
                <w:sz w:val="27"/>
                <w:szCs w:val="27"/>
              </w:rPr>
            </w:r>
            <w:r>
              <w:rPr>
                <w:rFonts w:eastAsia="PT Astra Serif" w:cs="PT Astra Serif" w:asciiTheme="minorHAnsi"/>
                <w:sz w:val="27"/>
                <w:szCs w:val="27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asciiTheme="minorHAnsi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lang w:val="en-US"/>
              </w:rPr>
              <w:t xml:space="preserve">31 (97%)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  <w:lang w:val="en-US"/>
              </w:rPr>
            </w:r>
            <w:r>
              <w:rPr>
                <w:rFonts w:ascii="PT Astra Serif" w:hAnsi="PT Astra Serif" w:cs="PT Astra Serif" w:asciiTheme="minorHAnsi"/>
                <w:sz w:val="27"/>
                <w:szCs w:val="27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</w:tr>
      <w:tr>
        <w:tblPrEx/>
        <w:trPr>
          <w:trHeight w:val="1032"/>
        </w:trPr>
        <w:tc>
          <w:tcPr>
            <w:tcW w:w="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3.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Аэропорт базирования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Москва - 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Шереметьево (SVO)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asciiTheme="minorHAnsi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  <w:lang w:eastAsia="zh-CN"/>
              </w:rPr>
              <w:t xml:space="preserve">Москва (Домодедово), Иркутск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  <w:lang w:eastAsia="zh-CN"/>
              </w:rPr>
            </w:r>
            <w:r>
              <w:rPr>
                <w:rFonts w:ascii="PT Astra Serif" w:hAnsi="PT Astra Serif" w:cs="PT Astra Serif" w:asciiTheme="minorHAnsi"/>
                <w:sz w:val="27"/>
                <w:szCs w:val="27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</w:tr>
      <w:tr>
        <w:tblPrEx/>
        <w:trPr>
          <w:trHeight w:val="1082"/>
        </w:trPr>
        <w:tc>
          <w:tcPr>
            <w:tcW w:w="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4.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7"/>
                <w:szCs w:val="27"/>
              </w:rPr>
              <w:t xml:space="preserve">Регулярность полетов </w:t>
            </w:r>
            <w:r>
              <w:rPr>
                <w:rFonts w:ascii="PT Astra Serif" w:hAnsi="PT Astra Serif" w:eastAsia="PT Astra Serif" w:cs="PT Astra Serif"/>
                <w:color w:val="auto"/>
                <w:sz w:val="27"/>
                <w:szCs w:val="27"/>
              </w:rPr>
              <w:t xml:space="preserve">за 3 месяца</w:t>
            </w:r>
            <w:r>
              <w:rPr>
                <w:rFonts w:ascii="PT Astra Serif" w:hAnsi="PT Astra Serif" w:eastAsia="PT Astra Serif" w:cs="PT Astra Serif"/>
                <w:color w:val="auto"/>
                <w:sz w:val="27"/>
                <w:szCs w:val="27"/>
              </w:rPr>
              <w:t xml:space="preserve">, предшествующих месяцу проведения внеочередного заседания МВК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97,24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94,76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</w:tr>
      <w:tr>
        <w:tblPrEx/>
        <w:trPr>
          <w:trHeight w:val="1045"/>
        </w:trPr>
        <w:tc>
          <w:tcPr>
            <w:tcW w:w="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5.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Объем перевозок по внутренним воздушным линиям от общего количества перевезенных пассажиров авиакомпании на первое число месяца, предшествующего месяцу проведения заседания 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комиссии, 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определенный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 согласно форме 12-ГА</w:t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70,83 % - доля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 ВВЛ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 в общем объеме 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br/>
              <w:t xml:space="preserve">(12 137 447 - пассажиры ВВЛ (чел) за 7 месяцев 2024 года)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  <w:tc>
          <w:tcPr>
            <w:tcW w:w="70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asciiTheme="minorHAnsi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  <w:t xml:space="preserve">44 275 - пассажиры ВВЛ (чел), общее кол-во пассажиров - 80 449</w:t>
            </w: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 w:asciiTheme="minorHAnsi"/>
                <w:sz w:val="27"/>
                <w:szCs w:val="27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eastAsia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  <w:r>
              <w:rPr>
                <w:rFonts w:ascii="PT Astra Serif" w:hAnsi="PT Astra Serif" w:cs="PT Astra Serif"/>
                <w:sz w:val="27"/>
                <w:szCs w:val="27"/>
              </w:rPr>
            </w:r>
          </w:p>
        </w:tc>
      </w:tr>
    </w:tbl>
    <w:p>
      <w:pPr>
        <w:jc w:val="both"/>
        <w:rPr>
          <w:color w:val="auto"/>
          <w:szCs w:val="24"/>
        </w:rPr>
      </w:pPr>
      <w:r>
        <w:rPr>
          <w:color w:val="auto"/>
          <w:szCs w:val="24"/>
        </w:rPr>
      </w:r>
      <w:r>
        <w:rPr>
          <w:color w:val="auto"/>
          <w:szCs w:val="24"/>
        </w:rPr>
      </w:r>
      <w:r>
        <w:rPr>
          <w:color w:val="auto"/>
          <w:szCs w:val="24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6837" w:h="11905" w:orient="landscape"/>
      <w:pgMar w:top="6" w:right="1134" w:bottom="1276" w:left="426" w:header="567" w:footer="41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XO Thames">
    <w:panose1 w:val="02000603000000000000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62314848"/>
      <w:docPartObj>
        <w:docPartGallery w:val="Page Numbers (Top of Page)"/>
        <w:docPartUnique w:val="true"/>
      </w:docPartObj>
      <w:rPr/>
    </w:sdtPr>
    <w:sdtContent>
      <w:p>
        <w:pPr>
          <w:pStyle w:val="93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34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  <w:p>
    <w:pPr>
      <w:pStyle w:val="934"/>
      <w:jc w:val="center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6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1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6">
    <w:multiLevelType w:val="hybridMultilevel"/>
    <w:lvl w:ilvl="0">
      <w:start w:val="1"/>
      <w:numFmt w:val="russianLower"/>
      <w:isLgl w:val="false"/>
      <w:suff w:val="tab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70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4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6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0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2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61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4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hAnsi="Times New Roman" w:eastAsia="Times New Roman" w:cs="Times New Roman" w:asci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894"/>
    <w:link w:val="889"/>
    <w:uiPriority w:val="9"/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894"/>
    <w:link w:val="890"/>
    <w:uiPriority w:val="9"/>
    <w:rPr>
      <w:rFonts w:ascii="Arial" w:hAnsi="Arial" w:eastAsia="Arial" w:cs="Arial"/>
      <w:sz w:val="34"/>
    </w:rPr>
  </w:style>
  <w:style w:type="character" w:styleId="738">
    <w:name w:val="Heading 3 Char"/>
    <w:basedOn w:val="894"/>
    <w:link w:val="891"/>
    <w:uiPriority w:val="9"/>
    <w:rPr>
      <w:rFonts w:ascii="Arial" w:hAnsi="Arial" w:eastAsia="Arial" w:cs="Arial"/>
      <w:sz w:val="30"/>
      <w:szCs w:val="30"/>
    </w:rPr>
  </w:style>
  <w:style w:type="character" w:styleId="739">
    <w:name w:val="Heading 4 Char"/>
    <w:basedOn w:val="894"/>
    <w:link w:val="892"/>
    <w:uiPriority w:val="9"/>
    <w:rPr>
      <w:rFonts w:ascii="Arial" w:hAnsi="Arial" w:eastAsia="Arial" w:cs="Arial"/>
      <w:b/>
      <w:bCs/>
      <w:sz w:val="26"/>
      <w:szCs w:val="26"/>
    </w:rPr>
  </w:style>
  <w:style w:type="character" w:styleId="740">
    <w:name w:val="Heading 5 Char"/>
    <w:basedOn w:val="894"/>
    <w:link w:val="893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888"/>
    <w:next w:val="888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894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888"/>
    <w:next w:val="888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894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888"/>
    <w:next w:val="888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894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888"/>
    <w:next w:val="888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894"/>
    <w:link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49">
    <w:name w:val="Title Char"/>
    <w:basedOn w:val="894"/>
    <w:link w:val="938"/>
    <w:uiPriority w:val="10"/>
    <w:rPr>
      <w:sz w:val="48"/>
      <w:szCs w:val="48"/>
    </w:rPr>
  </w:style>
  <w:style w:type="character" w:styleId="750">
    <w:name w:val="Subtitle Char"/>
    <w:basedOn w:val="894"/>
    <w:link w:val="932"/>
    <w:uiPriority w:val="11"/>
    <w:rPr>
      <w:sz w:val="24"/>
      <w:szCs w:val="24"/>
    </w:rPr>
  </w:style>
  <w:style w:type="paragraph" w:styleId="751">
    <w:name w:val="Quote"/>
    <w:basedOn w:val="888"/>
    <w:next w:val="888"/>
    <w:link w:val="752"/>
    <w:uiPriority w:val="29"/>
    <w:qFormat/>
    <w:pPr>
      <w:ind w:left="720" w:right="720"/>
    </w:pPr>
    <w:rPr>
      <w:i/>
    </w:rPr>
  </w:style>
  <w:style w:type="character" w:styleId="752">
    <w:name w:val="Quote Char"/>
    <w:link w:val="751"/>
    <w:uiPriority w:val="29"/>
    <w:rPr>
      <w:i/>
    </w:rPr>
  </w:style>
  <w:style w:type="paragraph" w:styleId="753">
    <w:name w:val="Intense Quote"/>
    <w:basedOn w:val="888"/>
    <w:next w:val="888"/>
    <w:link w:val="7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>
    <w:name w:val="Intense Quote Char"/>
    <w:link w:val="753"/>
    <w:uiPriority w:val="30"/>
    <w:rPr>
      <w:i/>
    </w:rPr>
  </w:style>
  <w:style w:type="character" w:styleId="755">
    <w:name w:val="Header Char"/>
    <w:basedOn w:val="894"/>
    <w:link w:val="934"/>
    <w:uiPriority w:val="99"/>
  </w:style>
  <w:style w:type="character" w:styleId="756">
    <w:name w:val="Footer Char"/>
    <w:basedOn w:val="894"/>
    <w:link w:val="906"/>
    <w:uiPriority w:val="99"/>
  </w:style>
  <w:style w:type="paragraph" w:styleId="757">
    <w:name w:val="Caption"/>
    <w:basedOn w:val="888"/>
    <w:next w:val="8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906"/>
    <w:uiPriority w:val="99"/>
  </w:style>
  <w:style w:type="table" w:styleId="759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Footnote Text Char"/>
    <w:link w:val="955"/>
    <w:uiPriority w:val="99"/>
    <w:rPr>
      <w:sz w:val="18"/>
    </w:rPr>
  </w:style>
  <w:style w:type="character" w:styleId="885">
    <w:name w:val="Endnote Text Char"/>
    <w:link w:val="952"/>
    <w:uiPriority w:val="99"/>
    <w:rPr>
      <w:sz w:val="20"/>
    </w:r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  <w:pPr>
      <w:spacing w:after="0" w:line="240" w:lineRule="auto"/>
    </w:pPr>
    <w:rPr>
      <w:rFonts w:ascii="Times New Roman"/>
      <w:sz w:val="24"/>
    </w:rPr>
  </w:style>
  <w:style w:type="paragraph" w:styleId="889">
    <w:name w:val="Heading 1"/>
    <w:link w:val="912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890">
    <w:name w:val="Heading 2"/>
    <w:link w:val="941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91">
    <w:name w:val="Heading 3"/>
    <w:basedOn w:val="888"/>
    <w:next w:val="888"/>
    <w:link w:val="908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892">
    <w:name w:val="Heading 4"/>
    <w:basedOn w:val="888"/>
    <w:next w:val="888"/>
    <w:link w:val="940"/>
    <w:uiPriority w:val="9"/>
    <w:qFormat/>
    <w:pPr>
      <w:ind w:left="1134"/>
      <w:jc w:val="center"/>
      <w:keepNext/>
      <w:outlineLvl w:val="3"/>
    </w:pPr>
    <w:rPr>
      <w:sz w:val="28"/>
    </w:rPr>
  </w:style>
  <w:style w:type="paragraph" w:styleId="893">
    <w:name w:val="Heading 5"/>
    <w:basedOn w:val="888"/>
    <w:next w:val="888"/>
    <w:link w:val="911"/>
    <w:uiPriority w:val="9"/>
    <w:qFormat/>
    <w:pPr>
      <w:jc w:val="right"/>
      <w:keepNext/>
      <w:outlineLvl w:val="4"/>
    </w:pPr>
    <w:rPr>
      <w:sz w:val="28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character" w:styleId="897" w:customStyle="1">
    <w:name w:val="Обычный1"/>
    <w:rPr>
      <w:rFonts w:ascii="Times New Roman" w:hAnsi="Times New Roman"/>
      <w:sz w:val="24"/>
    </w:rPr>
  </w:style>
  <w:style w:type="paragraph" w:styleId="898">
    <w:name w:val="toc 2"/>
    <w:link w:val="899"/>
    <w:uiPriority w:val="39"/>
    <w:pPr>
      <w:ind w:left="200"/>
    </w:pPr>
  </w:style>
  <w:style w:type="character" w:styleId="899" w:customStyle="1">
    <w:name w:val="Оглавление 2 Знак"/>
    <w:link w:val="898"/>
  </w:style>
  <w:style w:type="paragraph" w:styleId="900">
    <w:name w:val="toc 4"/>
    <w:link w:val="901"/>
    <w:uiPriority w:val="39"/>
    <w:pPr>
      <w:ind w:left="600"/>
    </w:pPr>
  </w:style>
  <w:style w:type="character" w:styleId="901" w:customStyle="1">
    <w:name w:val="Оглавление 4 Знак"/>
    <w:link w:val="900"/>
  </w:style>
  <w:style w:type="paragraph" w:styleId="902">
    <w:name w:val="toc 6"/>
    <w:link w:val="903"/>
    <w:uiPriority w:val="39"/>
    <w:pPr>
      <w:ind w:left="1000"/>
    </w:pPr>
  </w:style>
  <w:style w:type="character" w:styleId="903" w:customStyle="1">
    <w:name w:val="Оглавление 6 Знак"/>
    <w:link w:val="902"/>
  </w:style>
  <w:style w:type="paragraph" w:styleId="904">
    <w:name w:val="toc 7"/>
    <w:link w:val="905"/>
    <w:uiPriority w:val="39"/>
    <w:pPr>
      <w:ind w:left="1200"/>
    </w:pPr>
  </w:style>
  <w:style w:type="character" w:styleId="905" w:customStyle="1">
    <w:name w:val="Оглавление 7 Знак"/>
    <w:link w:val="904"/>
  </w:style>
  <w:style w:type="paragraph" w:styleId="906">
    <w:name w:val="Footer"/>
    <w:basedOn w:val="888"/>
    <w:link w:val="907"/>
    <w:uiPriority w:val="99"/>
    <w:pPr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basedOn w:val="897"/>
    <w:link w:val="906"/>
    <w:uiPriority w:val="99"/>
    <w:rPr>
      <w:rFonts w:ascii="Times New Roman" w:hAnsi="Times New Roman"/>
      <w:sz w:val="24"/>
    </w:rPr>
  </w:style>
  <w:style w:type="character" w:styleId="908" w:customStyle="1">
    <w:name w:val="Заголовок 3 Знак"/>
    <w:basedOn w:val="897"/>
    <w:link w:val="891"/>
    <w:rPr>
      <w:rFonts w:ascii="Arial" w:hAnsi="Arial"/>
      <w:b/>
      <w:sz w:val="26"/>
    </w:rPr>
  </w:style>
  <w:style w:type="paragraph" w:styleId="909">
    <w:name w:val="toc 3"/>
    <w:link w:val="910"/>
    <w:uiPriority w:val="39"/>
    <w:pPr>
      <w:ind w:left="400"/>
    </w:pPr>
  </w:style>
  <w:style w:type="character" w:styleId="910" w:customStyle="1">
    <w:name w:val="Оглавление 3 Знак"/>
    <w:link w:val="909"/>
  </w:style>
  <w:style w:type="character" w:styleId="911" w:customStyle="1">
    <w:name w:val="Заголовок 5 Знак"/>
    <w:basedOn w:val="897"/>
    <w:link w:val="893"/>
    <w:rPr>
      <w:rFonts w:ascii="Times New Roman" w:hAnsi="Times New Roman"/>
      <w:sz w:val="28"/>
    </w:rPr>
  </w:style>
  <w:style w:type="character" w:styleId="912" w:customStyle="1">
    <w:name w:val="Заголовок 1 Знак"/>
    <w:link w:val="889"/>
    <w:rPr>
      <w:rFonts w:ascii="XO Thames" w:hAnsi="XO Thames"/>
      <w:b/>
      <w:sz w:val="32"/>
    </w:rPr>
  </w:style>
  <w:style w:type="paragraph" w:styleId="913" w:customStyle="1">
    <w:name w:val="Гиперссылка1"/>
    <w:basedOn w:val="925"/>
    <w:link w:val="914"/>
    <w:rPr>
      <w:color w:val="0000ff"/>
      <w:u w:val="single"/>
    </w:rPr>
  </w:style>
  <w:style w:type="character" w:styleId="914">
    <w:name w:val="Hyperlink"/>
    <w:basedOn w:val="894"/>
    <w:link w:val="913"/>
    <w:rPr>
      <w:color w:val="0000ff"/>
      <w:u w:val="single"/>
    </w:rPr>
  </w:style>
  <w:style w:type="paragraph" w:styleId="915" w:customStyle="1">
    <w:name w:val="Footnote"/>
    <w:link w:val="916"/>
    <w:rPr>
      <w:rFonts w:ascii="XO Thames" w:hAnsi="XO Thames"/>
      <w:color w:val="757575"/>
      <w:sz w:val="20"/>
    </w:rPr>
  </w:style>
  <w:style w:type="character" w:styleId="916" w:customStyle="1">
    <w:name w:val="Footnote"/>
    <w:link w:val="915"/>
    <w:rPr>
      <w:rFonts w:ascii="XO Thames" w:hAnsi="XO Thames"/>
      <w:color w:val="757575"/>
      <w:sz w:val="20"/>
    </w:rPr>
  </w:style>
  <w:style w:type="paragraph" w:styleId="917">
    <w:name w:val="toc 1"/>
    <w:link w:val="918"/>
    <w:uiPriority w:val="39"/>
    <w:rPr>
      <w:rFonts w:ascii="XO Thames" w:hAnsi="XO Thames"/>
      <w:b/>
    </w:rPr>
  </w:style>
  <w:style w:type="character" w:styleId="918" w:customStyle="1">
    <w:name w:val="Оглавление 1 Знак"/>
    <w:link w:val="917"/>
    <w:rPr>
      <w:rFonts w:ascii="XO Thames" w:hAnsi="XO Thames"/>
      <w:b/>
    </w:rPr>
  </w:style>
  <w:style w:type="paragraph" w:styleId="919">
    <w:name w:val="Body Text"/>
    <w:basedOn w:val="888"/>
    <w:link w:val="920"/>
    <w:pPr>
      <w:jc w:val="both"/>
      <w:spacing w:before="120" w:after="120"/>
    </w:pPr>
    <w:rPr>
      <w:sz w:val="28"/>
    </w:rPr>
  </w:style>
  <w:style w:type="character" w:styleId="920" w:customStyle="1">
    <w:name w:val="Основной текст Знак"/>
    <w:basedOn w:val="897"/>
    <w:link w:val="919"/>
    <w:rPr>
      <w:rFonts w:ascii="Times New Roman" w:hAnsi="Times New Roman"/>
      <w:sz w:val="28"/>
    </w:rPr>
  </w:style>
  <w:style w:type="paragraph" w:styleId="921" w:customStyle="1">
    <w:name w:val="Header and Footer"/>
    <w:link w:val="922"/>
    <w:pPr>
      <w:spacing w:line="360" w:lineRule="auto"/>
    </w:pPr>
    <w:rPr>
      <w:rFonts w:ascii="XO Thames" w:hAnsi="XO Thames"/>
      <w:sz w:val="20"/>
    </w:rPr>
  </w:style>
  <w:style w:type="character" w:styleId="922" w:customStyle="1">
    <w:name w:val="Header and Footer"/>
    <w:link w:val="921"/>
    <w:rPr>
      <w:rFonts w:ascii="XO Thames" w:hAnsi="XO Thames"/>
      <w:sz w:val="20"/>
    </w:rPr>
  </w:style>
  <w:style w:type="paragraph" w:styleId="923">
    <w:name w:val="toc 9"/>
    <w:link w:val="924"/>
    <w:uiPriority w:val="39"/>
    <w:pPr>
      <w:ind w:left="1600"/>
    </w:pPr>
  </w:style>
  <w:style w:type="character" w:styleId="924" w:customStyle="1">
    <w:name w:val="Оглавление 9 Знак"/>
    <w:link w:val="923"/>
  </w:style>
  <w:style w:type="paragraph" w:styleId="925" w:customStyle="1">
    <w:name w:val="Основной шрифт абзаца1"/>
  </w:style>
  <w:style w:type="paragraph" w:styleId="926">
    <w:name w:val="toc 8"/>
    <w:link w:val="927"/>
    <w:uiPriority w:val="39"/>
    <w:pPr>
      <w:ind w:left="1400"/>
    </w:pPr>
  </w:style>
  <w:style w:type="character" w:styleId="927" w:customStyle="1">
    <w:name w:val="Оглавление 8 Знак"/>
    <w:link w:val="926"/>
  </w:style>
  <w:style w:type="paragraph" w:styleId="928">
    <w:name w:val="Balloon Text"/>
    <w:basedOn w:val="888"/>
    <w:link w:val="929"/>
    <w:rPr>
      <w:rFonts w:ascii="Tahoma" w:hAnsi="Tahoma"/>
      <w:sz w:val="16"/>
    </w:rPr>
  </w:style>
  <w:style w:type="character" w:styleId="929" w:customStyle="1">
    <w:name w:val="Текст выноски Знак"/>
    <w:basedOn w:val="897"/>
    <w:link w:val="928"/>
    <w:rPr>
      <w:rFonts w:ascii="Tahoma" w:hAnsi="Tahoma"/>
      <w:sz w:val="16"/>
    </w:rPr>
  </w:style>
  <w:style w:type="paragraph" w:styleId="930">
    <w:name w:val="toc 5"/>
    <w:link w:val="931"/>
    <w:uiPriority w:val="39"/>
    <w:pPr>
      <w:ind w:left="800"/>
    </w:pPr>
  </w:style>
  <w:style w:type="character" w:styleId="931" w:customStyle="1">
    <w:name w:val="Оглавление 5 Знак"/>
    <w:link w:val="930"/>
  </w:style>
  <w:style w:type="paragraph" w:styleId="932">
    <w:name w:val="Subtitle"/>
    <w:link w:val="933"/>
    <w:uiPriority w:val="11"/>
    <w:qFormat/>
    <w:rPr>
      <w:rFonts w:ascii="XO Thames" w:hAnsi="XO Thames"/>
      <w:i/>
      <w:color w:val="616161"/>
      <w:sz w:val="24"/>
    </w:rPr>
  </w:style>
  <w:style w:type="character" w:styleId="933" w:customStyle="1">
    <w:name w:val="Подзаголовок Знак"/>
    <w:link w:val="932"/>
    <w:rPr>
      <w:rFonts w:ascii="XO Thames" w:hAnsi="XO Thames"/>
      <w:i/>
      <w:color w:val="616161"/>
      <w:sz w:val="24"/>
    </w:rPr>
  </w:style>
  <w:style w:type="paragraph" w:styleId="934">
    <w:name w:val="Header"/>
    <w:basedOn w:val="888"/>
    <w:link w:val="935"/>
    <w:uiPriority w:val="99"/>
    <w:pPr>
      <w:tabs>
        <w:tab w:val="center" w:pos="4677" w:leader="none"/>
        <w:tab w:val="right" w:pos="9355" w:leader="none"/>
      </w:tabs>
    </w:pPr>
  </w:style>
  <w:style w:type="character" w:styleId="935" w:customStyle="1">
    <w:name w:val="Верхний колонтитул Знак"/>
    <w:basedOn w:val="897"/>
    <w:link w:val="934"/>
    <w:uiPriority w:val="99"/>
    <w:rPr>
      <w:rFonts w:ascii="Times New Roman" w:hAnsi="Times New Roman"/>
      <w:sz w:val="24"/>
    </w:rPr>
  </w:style>
  <w:style w:type="paragraph" w:styleId="936" w:customStyle="1">
    <w:name w:val="toc 10"/>
    <w:link w:val="937"/>
    <w:uiPriority w:val="39"/>
    <w:pPr>
      <w:ind w:left="1800"/>
    </w:pPr>
  </w:style>
  <w:style w:type="character" w:styleId="937" w:customStyle="1">
    <w:name w:val="toc 10"/>
    <w:link w:val="936"/>
  </w:style>
  <w:style w:type="paragraph" w:styleId="938">
    <w:name w:val="Title"/>
    <w:link w:val="939"/>
    <w:uiPriority w:val="10"/>
    <w:qFormat/>
    <w:rPr>
      <w:rFonts w:ascii="XO Thames" w:hAnsi="XO Thames"/>
      <w:b/>
      <w:sz w:val="52"/>
    </w:rPr>
  </w:style>
  <w:style w:type="character" w:styleId="939" w:customStyle="1">
    <w:name w:val="Название Знак"/>
    <w:link w:val="938"/>
    <w:rPr>
      <w:rFonts w:ascii="XO Thames" w:hAnsi="XO Thames"/>
      <w:b/>
      <w:sz w:val="52"/>
    </w:rPr>
  </w:style>
  <w:style w:type="character" w:styleId="940" w:customStyle="1">
    <w:name w:val="Заголовок 4 Знак"/>
    <w:basedOn w:val="897"/>
    <w:link w:val="892"/>
    <w:rPr>
      <w:rFonts w:ascii="Times New Roman" w:hAnsi="Times New Roman"/>
      <w:sz w:val="28"/>
    </w:rPr>
  </w:style>
  <w:style w:type="character" w:styleId="941" w:customStyle="1">
    <w:name w:val="Заголовок 2 Знак"/>
    <w:link w:val="890"/>
    <w:rPr>
      <w:rFonts w:ascii="XO Thames" w:hAnsi="XO Thames"/>
      <w:b/>
      <w:color w:val="00a0ff"/>
      <w:sz w:val="26"/>
    </w:rPr>
  </w:style>
  <w:style w:type="paragraph" w:styleId="942">
    <w:name w:val="No Spacing"/>
    <w:uiPriority w:val="1"/>
    <w:qFormat/>
    <w:pPr>
      <w:spacing w:after="0" w:line="240" w:lineRule="auto"/>
    </w:pPr>
    <w:rPr>
      <w:rFonts w:ascii="Times New Roman"/>
      <w:sz w:val="24"/>
    </w:rPr>
  </w:style>
  <w:style w:type="character" w:styleId="943" w:customStyle="1">
    <w:name w:val="Основной текст (2)_"/>
    <w:basedOn w:val="894"/>
    <w:link w:val="944"/>
    <w:rPr>
      <w:rFonts w:ascii="Times New Roman"/>
      <w:sz w:val="28"/>
      <w:szCs w:val="28"/>
      <w:shd w:val="clear" w:color="auto" w:fill="ffffff"/>
    </w:rPr>
  </w:style>
  <w:style w:type="paragraph" w:styleId="944" w:customStyle="1">
    <w:name w:val="Основной текст (2)"/>
    <w:basedOn w:val="888"/>
    <w:link w:val="943"/>
    <w:pPr>
      <w:spacing w:before="360" w:after="600" w:line="296" w:lineRule="exact"/>
      <w:shd w:val="clear" w:color="auto" w:fill="ffffff"/>
      <w:widowControl w:val="off"/>
    </w:pPr>
    <w:rPr>
      <w:sz w:val="28"/>
      <w:szCs w:val="28"/>
    </w:rPr>
  </w:style>
  <w:style w:type="table" w:styleId="945">
    <w:name w:val="Table Grid"/>
    <w:basedOn w:val="895"/>
    <w:uiPriority w:val="59"/>
    <w:pPr>
      <w:spacing w:after="0" w:line="240" w:lineRule="auto"/>
    </w:pPr>
    <w:rPr>
      <w:rFonts w:hAnsiTheme="minorHAnsi" w:eastAsiaTheme="minorHAnsi" w:cstheme="minorBidi"/>
      <w:color w:val="auto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6">
    <w:name w:val="List Paragraph"/>
    <w:basedOn w:val="888"/>
    <w:uiPriority w:val="34"/>
    <w:qFormat/>
    <w:pPr>
      <w:contextualSpacing/>
      <w:ind w:left="720"/>
    </w:pPr>
  </w:style>
  <w:style w:type="character" w:styleId="947">
    <w:name w:val="annotation reference"/>
    <w:basedOn w:val="894"/>
    <w:uiPriority w:val="99"/>
    <w:semiHidden/>
    <w:unhideWhenUsed/>
    <w:rPr>
      <w:sz w:val="16"/>
      <w:szCs w:val="16"/>
    </w:rPr>
  </w:style>
  <w:style w:type="paragraph" w:styleId="948">
    <w:name w:val="annotation text"/>
    <w:basedOn w:val="888"/>
    <w:link w:val="949"/>
    <w:uiPriority w:val="99"/>
    <w:semiHidden/>
    <w:unhideWhenUsed/>
    <w:rPr>
      <w:sz w:val="20"/>
    </w:rPr>
  </w:style>
  <w:style w:type="character" w:styleId="949" w:customStyle="1">
    <w:name w:val="Текст примечания Знак"/>
    <w:basedOn w:val="894"/>
    <w:link w:val="948"/>
    <w:uiPriority w:val="99"/>
    <w:semiHidden/>
    <w:rPr>
      <w:rFonts w:ascii="Times New Roman"/>
      <w:sz w:val="20"/>
    </w:rPr>
  </w:style>
  <w:style w:type="paragraph" w:styleId="950">
    <w:name w:val="annotation subject"/>
    <w:basedOn w:val="948"/>
    <w:next w:val="948"/>
    <w:link w:val="951"/>
    <w:uiPriority w:val="99"/>
    <w:semiHidden/>
    <w:unhideWhenUsed/>
    <w:rPr>
      <w:b/>
      <w:bCs/>
    </w:rPr>
  </w:style>
  <w:style w:type="character" w:styleId="951" w:customStyle="1">
    <w:name w:val="Тема примечания Знак"/>
    <w:basedOn w:val="949"/>
    <w:link w:val="950"/>
    <w:uiPriority w:val="99"/>
    <w:semiHidden/>
    <w:rPr>
      <w:rFonts w:ascii="Times New Roman"/>
      <w:b/>
      <w:bCs/>
      <w:sz w:val="20"/>
    </w:rPr>
  </w:style>
  <w:style w:type="paragraph" w:styleId="952">
    <w:name w:val="endnote text"/>
    <w:basedOn w:val="888"/>
    <w:link w:val="953"/>
    <w:uiPriority w:val="99"/>
    <w:semiHidden/>
    <w:unhideWhenUsed/>
    <w:rPr>
      <w:sz w:val="20"/>
    </w:rPr>
  </w:style>
  <w:style w:type="character" w:styleId="953" w:customStyle="1">
    <w:name w:val="Текст концевой сноски Знак"/>
    <w:basedOn w:val="894"/>
    <w:link w:val="952"/>
    <w:uiPriority w:val="99"/>
    <w:semiHidden/>
    <w:rPr>
      <w:rFonts w:ascii="Times New Roman"/>
      <w:sz w:val="20"/>
    </w:rPr>
  </w:style>
  <w:style w:type="character" w:styleId="954">
    <w:name w:val="endnote reference"/>
    <w:basedOn w:val="894"/>
    <w:uiPriority w:val="99"/>
    <w:semiHidden/>
    <w:unhideWhenUsed/>
    <w:rPr>
      <w:vertAlign w:val="superscript"/>
    </w:rPr>
  </w:style>
  <w:style w:type="paragraph" w:styleId="955">
    <w:name w:val="footnote text"/>
    <w:basedOn w:val="888"/>
    <w:link w:val="956"/>
    <w:uiPriority w:val="99"/>
    <w:semiHidden/>
    <w:unhideWhenUsed/>
    <w:rPr>
      <w:sz w:val="20"/>
    </w:rPr>
  </w:style>
  <w:style w:type="character" w:styleId="956" w:customStyle="1">
    <w:name w:val="Текст сноски Знак"/>
    <w:basedOn w:val="894"/>
    <w:link w:val="955"/>
    <w:uiPriority w:val="99"/>
    <w:semiHidden/>
    <w:rPr>
      <w:rFonts w:ascii="Times New Roman"/>
      <w:sz w:val="20"/>
    </w:rPr>
  </w:style>
  <w:style w:type="character" w:styleId="957">
    <w:name w:val="footnote reference"/>
    <w:basedOn w:val="894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A10439B0F340C4DBAE54F4B5CBDA3B2" ma:contentTypeVersion="0" ma:contentTypeDescription="" ma:contentTypeScope="" ma:versionID="4178d5e81d1d16f2619c89ba89253674">
  <xsd:schema xmlns:xsd="http://www.w3.org/2001/XMLSchema" xmlns:xs="http://www.w3.org/2001/XMLSchema" xmlns:p="http://schemas.microsoft.com/office/2006/metadata/properties" xmlns:ns2="DD699240-2E4F-4577-88EC-97EB306C3B85" targetNamespace="http://schemas.microsoft.com/office/2006/metadata/properties" ma:root="true" ma:fieldsID="980d0f5e2f389040919689f98ea8b913" ns2:_="">
    <xsd:import namespace="DD699240-2E4F-4577-88EC-97EB306C3B85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99240-2E4F-4577-88EC-97EB306C3B85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ag xmlns="DD699240-2E4F-4577-88EC-97EB306C3B85">Бланки электронных писем,</Document_Tag>
    <Document_Image xmlns="DD699240-2E4F-4577-88EC-97EB306C3B85">
      <Url xsi:nil="true"/>
      <Description xsi:nil="true"/>
    </Document_Image>
    <Document_Description xmlns="DD699240-2E4F-4577-88EC-97EB306C3B85">Бланк Первый заместитель Министра – руководитель федерального агентства воздушного транспорта</Document_Descrip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9458-A119-4127-B3F4-033E9D4A8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EC184-25A9-44C3-B734-9E6C1699F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99240-2E4F-4577-88EC-97EB306C3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09F7C-FB66-4FF5-9B32-5A5ABD27E049}">
  <ds:schemaRefs>
    <ds:schemaRef ds:uri="http://schemas.microsoft.com/office/2006/metadata/properties"/>
    <ds:schemaRef ds:uri="http://schemas.microsoft.com/office/infopath/2007/PartnerControls"/>
    <ds:schemaRef ds:uri="DD699240-2E4F-4577-88EC-97EB306C3B85"/>
  </ds:schemaRefs>
</ds:datastoreItem>
</file>

<file path=customXml/itemProps4.xml><?xml version="1.0" encoding="utf-8"?>
<ds:datastoreItem xmlns:ds="http://schemas.openxmlformats.org/officeDocument/2006/customXml" ds:itemID="{B40A09BE-EB8C-4709-B34A-FCE48EF4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(Первый заместитель Министра – руководитель федерального агентства воздушного транспорта)</dc:title>
  <dc:creator>Андрей</dc:creator>
  <cp:revision>13</cp:revision>
  <dcterms:created xsi:type="dcterms:W3CDTF">2023-05-17T15:15:00Z</dcterms:created>
  <dcterms:modified xsi:type="dcterms:W3CDTF">2024-08-23T10:50:35Z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0x010100A2E4965DF3E54D818E0DAC31D40C864F001A10439B0F340C4DBAE54F4B5CBDA3B2</vt:lpwstr>
  </property>
</Properties>
</file>