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83" w:before="0" w:after="142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518160" cy="518160"/>
            <wp:effectExtent l="0" t="0" r="0" b="0"/>
            <wp:docPr id="1" name="_x005F_x0000_i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1" w:before="0" w:after="142"/>
        <w:jc w:val="center"/>
        <w:rPr>
          <w:rFonts w:ascii="Times New Roman" w:hAnsi="Times New Roman" w:eastAsia="Tempora LGC Uni" w:cs="Times New Roman"/>
          <w:b/>
          <w:b/>
          <w:bCs/>
          <w:sz w:val="28"/>
          <w:szCs w:val="28"/>
        </w:rPr>
      </w:pPr>
      <w:r>
        <w:rPr>
          <w:rFonts w:eastAsia="Tempora LGC Uni" w:cs="Times New Roman" w:ascii="Times New Roman" w:hAnsi="Times New Roman"/>
          <w:b/>
          <w:bCs/>
          <w:sz w:val="28"/>
          <w:szCs w:val="28"/>
        </w:rPr>
        <w:t xml:space="preserve">Федеральное агентство воздушного транспорта </w:t>
      </w:r>
    </w:p>
    <w:p>
      <w:pPr>
        <w:pStyle w:val="Normal"/>
        <w:spacing w:lineRule="exact" w:line="221" w:before="0" w:after="142"/>
        <w:jc w:val="center"/>
        <w:rPr>
          <w:rFonts w:ascii="Times New Roman" w:hAnsi="Times New Roman" w:eastAsia="Tempora LGC Uni" w:cs="Times New Roman"/>
          <w:b/>
          <w:b/>
          <w:bCs/>
          <w:sz w:val="28"/>
          <w:szCs w:val="28"/>
        </w:rPr>
      </w:pPr>
      <w:r>
        <w:rPr>
          <w:rFonts w:eastAsia="Tempora LGC Uni" w:cs="Times New Roman" w:ascii="Times New Roman" w:hAnsi="Times New Roman"/>
          <w:b/>
          <w:bCs/>
          <w:sz w:val="28"/>
          <w:szCs w:val="28"/>
        </w:rPr>
        <w:t>(РОСАВИАЦИЯ)</w:t>
      </w:r>
    </w:p>
    <w:p>
      <w:pPr>
        <w:pStyle w:val="Normal"/>
        <w:spacing w:lineRule="exact" w:line="221" w:before="0" w:after="142"/>
        <w:jc w:val="center"/>
        <w:rPr>
          <w:rFonts w:ascii="Times New Roman" w:hAnsi="Times New Roman" w:eastAsia="Tempora LGC Uni" w:cs="Times New Roman"/>
          <w:b/>
          <w:b/>
          <w:bCs/>
          <w:sz w:val="28"/>
          <w:szCs w:val="28"/>
        </w:rPr>
      </w:pPr>
      <w:r>
        <w:rPr>
          <w:rFonts w:eastAsia="Tempora LGC Uni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empora LGC Uni" w:cs="Times New Roman"/>
          <w:b/>
          <w:b/>
          <w:bCs/>
          <w:sz w:val="24"/>
          <w:szCs w:val="24"/>
        </w:rPr>
      </w:pPr>
      <w:r>
        <w:rPr>
          <w:rFonts w:eastAsia="Tempora LGC Uni" w:cs="Times New Roman" w:ascii="Times New Roman" w:hAnsi="Times New Roman"/>
          <w:b/>
          <w:bCs/>
          <w:sz w:val="24"/>
          <w:szCs w:val="24"/>
        </w:rPr>
        <w:t>ЗАЯВКА (разработчик) №______________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Tempora LGC Uni" w:cs="Times New Roman" w:ascii="Times New Roman" w:hAnsi="Times New Roman"/>
          <w:b/>
          <w:bCs/>
          <w:sz w:val="24"/>
          <w:szCs w:val="24"/>
        </w:rPr>
        <w:t>Дата приема заявки_______________</w:t>
      </w:r>
    </w:p>
    <w:tbl>
      <w:tblPr>
        <w:tblpPr w:bottomFromText="0" w:horzAnchor="text" w:leftFromText="180" w:rightFromText="180" w:tblpX="0" w:tblpXSpec="center" w:tblpY="1" w:topFromText="0" w:vertAnchor="text"/>
        <w:tblW w:w="102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2"/>
        <w:gridCol w:w="4130"/>
        <w:gridCol w:w="39"/>
        <w:gridCol w:w="406"/>
        <w:gridCol w:w="1023"/>
        <w:gridCol w:w="1416"/>
        <w:gridCol w:w="2579"/>
      </w:tblGrid>
      <w:tr>
        <w:trPr>
          <w:trHeight w:val="34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Информация об организации - заявителя</w:t>
            </w:r>
          </w:p>
        </w:tc>
      </w:tr>
      <w:tr>
        <w:trPr>
          <w:trHeight w:val="722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организации-заявителя/сокращенное наименование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715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 организации-заявителя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655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организации-заявителя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84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(места) деятельности организации-заявителя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4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организации, чел.</w:t>
            </w:r>
          </w:p>
        </w:tc>
        <w:tc>
          <w:tcPr>
            <w:tcW w:w="5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174" w:hRule="atLeast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Контактное лицо, ответственное </w:t>
            </w:r>
          </w:p>
          <w:p>
            <w:pPr>
              <w:pStyle w:val="Normal"/>
              <w:spacing w:lineRule="auto" w:line="240" w:before="0" w:after="0"/>
              <w:ind w:left="1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заявке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A6A6A6" w:themeColor="background1" w:themeShade="a6"/>
              </w:rPr>
            </w:pPr>
            <w:r>
              <w:rPr>
                <w:rFonts w:ascii="Times New Roman" w:hAnsi="Times New Roman"/>
                <w:b/>
                <w:color w:val="A6A6A6" w:themeColor="background1" w:themeShade="a6"/>
              </w:rPr>
            </w:r>
          </w:p>
        </w:tc>
      </w:tr>
      <w:tr>
        <w:trPr>
          <w:trHeight w:val="173" w:hRule="atLeast"/>
        </w:trPr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46" w:leader="none"/>
              </w:tabs>
              <w:spacing w:lineRule="auto" w:line="240" w:before="0" w:after="0"/>
              <w:ind w:left="442" w:hanging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A6A6A6" w:themeColor="background1" w:themeShade="a6"/>
              </w:rPr>
            </w:pPr>
            <w:r>
              <w:rPr>
                <w:rFonts w:ascii="Times New Roman" w:hAnsi="Times New Roman"/>
                <w:b/>
                <w:color w:val="A6A6A6" w:themeColor="background1" w:themeShade="a6"/>
              </w:rPr>
            </w:r>
          </w:p>
        </w:tc>
      </w:tr>
      <w:tr>
        <w:trPr>
          <w:trHeight w:val="173" w:hRule="atLeast"/>
        </w:trPr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46" w:leader="none"/>
              </w:tabs>
              <w:spacing w:lineRule="auto" w:line="240" w:before="0" w:after="0"/>
              <w:ind w:left="442" w:hanging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A6A6A6" w:themeColor="background1" w:themeShade="a6"/>
              </w:rPr>
            </w:pPr>
            <w:r>
              <w:rPr>
                <w:rFonts w:ascii="Times New Roman" w:hAnsi="Times New Roman"/>
                <w:b/>
                <w:color w:val="A6A6A6" w:themeColor="background1" w:themeShade="a6"/>
              </w:rPr>
            </w:r>
          </w:p>
        </w:tc>
      </w:tr>
      <w:tr>
        <w:trPr>
          <w:trHeight w:val="173" w:hRule="atLeast"/>
        </w:trPr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446" w:leader="none"/>
              </w:tabs>
              <w:spacing w:lineRule="auto" w:line="240" w:before="0" w:after="0"/>
              <w:ind w:left="442" w:hanging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color w:val="A6A6A6" w:themeColor="background1" w:themeShade="a6"/>
              </w:rPr>
            </w:pPr>
            <w:r>
              <w:rPr>
                <w:rFonts w:ascii="Times New Roman" w:hAnsi="Times New Roman"/>
                <w:b/>
                <w:color w:val="A6A6A6" w:themeColor="background1" w:themeShade="a6"/>
              </w:rPr>
            </w:r>
          </w:p>
        </w:tc>
      </w:tr>
      <w:tr>
        <w:trPr>
          <w:trHeight w:val="469" w:hRule="atLeast"/>
        </w:trPr>
        <w:tc>
          <w:tcPr>
            <w:tcW w:w="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Заявка на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51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byssinica SIL" w:cs="Abyssinica SIL" w:ascii="Abyssinica SIL" w:hAnsi="Abyssinica SIL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Получение Сертификата Разработчика</w:t>
            </w:r>
          </w:p>
        </w:tc>
      </w:tr>
      <w:tr>
        <w:trPr>
          <w:trHeight w:val="56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2.2.</w:t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51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byssinica SIL" w:cs="Abyssinica SIL" w:ascii="Abyssinica SIL" w:hAnsi="Abyssinica SIL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Подтверждение действия Сертификата Разработчика </w:t>
            </w:r>
            <w:r>
              <w:rPr>
                <w:rFonts w:ascii="Times New Roman" w:hAnsi="Times New Roman"/>
                <w:color w:val="000000"/>
              </w:rPr>
              <w:t>№ ____________ от _______</w:t>
            </w:r>
          </w:p>
        </w:tc>
      </w:tr>
      <w:tr>
        <w:trPr>
          <w:trHeight w:val="55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51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byssinica SIL" w:cs="Abyssinica SIL" w:ascii="Abyssinica SIL" w:hAnsi="Abyssinica SIL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Изменение области действия Сертификата Разработчика </w:t>
            </w:r>
            <w:r>
              <w:rPr>
                <w:rFonts w:ascii="Times New Roman" w:hAnsi="Times New Roman"/>
                <w:color w:val="000000"/>
              </w:rPr>
              <w:t>№ ___________ от______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2.4.</w:t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51" w:leader="none"/>
              </w:tabs>
              <w:spacing w:lineRule="auto" w:line="240" w:before="0" w:after="0"/>
              <w:ind w:right="144" w:hanging="0"/>
              <w:rPr>
                <w:rFonts w:ascii="Times New Roman" w:hAnsi="Times New Roman"/>
              </w:rPr>
            </w:pPr>
            <w:r>
              <w:rPr>
                <w:rFonts w:eastAsia="Abyssinica SIL" w:cs="Abyssinica SIL" w:ascii="Abyssinica SIL" w:hAnsi="Abyssinica SIL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Другое (указать)_______________________________________________________</w:t>
            </w:r>
          </w:p>
        </w:tc>
      </w:tr>
      <w:tr>
        <w:trPr>
          <w:trHeight w:val="340" w:hRule="atLeast"/>
        </w:trPr>
        <w:tc>
          <w:tcPr>
            <w:tcW w:w="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Запрашиваемая Область действия Сертификата разработчика:</w:t>
            </w:r>
          </w:p>
        </w:tc>
      </w:tr>
      <w:tr>
        <w:trPr>
          <w:trHeight w:val="95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empora LGC Uni" w:cs="Times New Roman"/>
              </w:rPr>
            </w:pPr>
            <w:r>
              <w:rPr>
                <w:rFonts w:eastAsia="Tempora LGC Uni" w:cs="Times New Roman" w:ascii="Times New Roman" w:hAnsi="Times New Roman"/>
              </w:rPr>
              <w:t>Тип разрабатываемой авиационной техники: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empora LGC Uni" w:cs="Times New Roman"/>
                <w:b/>
                <w:b/>
                <w:bCs/>
              </w:rPr>
            </w:pPr>
            <w:r>
              <w:rPr>
                <w:rFonts w:eastAsia="Abyssinica SIL" w:cs="Times New Roman" w:ascii="Times New Roman" w:hAnsi="Times New Roman"/>
              </w:rPr>
              <w:t xml:space="preserve">□ </w:t>
            </w:r>
            <w:r>
              <w:rPr>
                <w:rFonts w:eastAsia="Tempora LGC Uni" w:cs="Times New Roman" w:ascii="Times New Roman" w:hAnsi="Times New Roman"/>
                <w:b/>
                <w:bCs/>
              </w:rPr>
              <w:t>Указаны в Приложении 1 к настоящей заявке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eastAsia="Abyssinica SIL" w:cs="Times New Roman" w:ascii="Times New Roman" w:hAnsi="Times New Roman"/>
              </w:rPr>
              <w:t xml:space="preserve">□ </w:t>
            </w:r>
            <w:r>
              <w:rPr>
                <w:rFonts w:eastAsia="Tempora LGC Uni" w:cs="Times New Roman" w:ascii="Times New Roman" w:hAnsi="Times New Roman"/>
                <w:b/>
                <w:bCs/>
              </w:rPr>
              <w:t>Указаны в Приложении к Сертификату Разработчика №__________ от ______________</w:t>
            </w:r>
          </w:p>
        </w:tc>
      </w:tr>
      <w:tr>
        <w:trPr>
          <w:trHeight w:val="417" w:hRule="atLeast"/>
        </w:trPr>
        <w:tc>
          <w:tcPr>
            <w:tcW w:w="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Прилагаемые к заявке документы</w:t>
            </w:r>
          </w:p>
        </w:tc>
      </w:tr>
      <w:tr>
        <w:trPr>
          <w:trHeight w:val="265" w:hRule="atLeast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1"/>
                <w:numId w:val="1"/>
              </w:numPr>
              <w:spacing w:lineRule="auto" w:line="240" w:before="0" w:after="0"/>
              <w:ind w:left="460" w:hanging="43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51" w:leader="none"/>
              </w:tabs>
              <w:spacing w:lineRule="auto" w:line="240" w:before="120" w:after="120"/>
              <w:ind w:left="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документов, регламентирующих деятельность Разработчика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/>
                <w:b/>
                <w:b/>
              </w:rPr>
            </w:pPr>
            <w:r>
              <w:rPr>
                <w:rFonts w:eastAsia="Tempora LGC Uni" w:cs="Tempora LGC Uni" w:ascii="Tempora LGC Uni" w:hAnsi="Tempora LGC Uni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п. 21.243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/>
                <w:b/>
                <w:b/>
              </w:rPr>
            </w:pPr>
            <w:r>
              <w:rPr>
                <w:rFonts w:eastAsia="Tempora LGC Uni" w:cs="Tempora LGC Uni" w:ascii="Tempora LGC Uni" w:hAnsi="Tempora LGC Uni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</w:rPr>
              <w:t>п. 21.239</w:t>
            </w:r>
          </w:p>
        </w:tc>
      </w:tr>
      <w:tr>
        <w:trPr>
          <w:trHeight w:val="265" w:hRule="atLeast"/>
        </w:trPr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left="46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1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51" w:leader="none"/>
              </w:tabs>
              <w:spacing w:lineRule="auto" w:line="240" w:before="120" w:after="120"/>
              <w:ind w:left="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jc w:val="both"/>
              <w:rPr>
                <w:rFonts w:ascii="Times New Roman" w:hAnsi="Times New Roman" w:cs="Times New Roman"/>
                <w:b w:val="false"/>
                <w:b w:val="false"/>
                <w:bCs/>
                <w:sz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</w:rPr>
            </w:r>
          </w:p>
        </w:tc>
      </w:tr>
      <w:tr>
        <w:trPr>
          <w:trHeight w:val="422" w:hRule="atLeast"/>
        </w:trPr>
        <w:tc>
          <w:tcPr>
            <w:tcW w:w="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Декларация заявителя</w:t>
            </w:r>
          </w:p>
        </w:tc>
      </w:tr>
      <w:tr>
        <w:trPr>
          <w:trHeight w:val="131" w:hRule="atLeast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empora LGC Uni" w:cs="Times New Roman"/>
                <w:b/>
                <w:b/>
                <w:bCs/>
                <w:color w:val="000000" w:themeColor="text1"/>
                <w:highlight w:val="white"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>Удостоверяю, что ознакомлен и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highlight w:val="white"/>
              </w:rPr>
              <w:t xml:space="preserve"> согласен с: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highlight w:val="white"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 xml:space="preserve">- процедурами проведения работ по оценке соответствия требованиям Федеральных авиационных правил «Сертификация авиационной техники, организаций разработчиков и изготовителей. Часть 21» 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highlight w:val="white"/>
              </w:rPr>
              <w:t xml:space="preserve">(далее – ФАП-21) и требованиями </w:t>
            </w:r>
            <w:r>
              <w:rPr>
                <w:rFonts w:eastAsia="Tempora LGC Uni" w:cs="Times New Roman" w:ascii="Times New Roman" w:hAnsi="Times New Roman"/>
                <w:b/>
                <w:bCs/>
              </w:rPr>
              <w:t>Воздушного кодекса Российской Федерации от 19.03.1997 № 60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highlight w:val="white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empora LGC Uni" w:cs="Times New Roman"/>
                <w:b/>
                <w:b/>
                <w:bCs/>
                <w:color w:val="000000" w:themeColor="text1"/>
                <w:highlight w:val="white"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highlight w:val="white"/>
              </w:rPr>
              <w:t>- приостановлением действия полученного Сертификата разработчика авиационной техники (далее – Сертификат) в случае невыполнения требований подпункта (а)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highlight w:val="white"/>
              </w:rPr>
              <w:t>пункта 21.259 ФАП-21 и неподачи держателем Сертификата Заявки в срок, определяемый как 3 года с даты первоначальной выдачи/даты переподтверждения Сертификата за вычетом 90 календарных дней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empora LGC Uni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highlight w:val="white"/>
              </w:rPr>
              <w:t>- приостановлением действия полученного Сертификата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 xml:space="preserve"> в случае неподтверждения действия Сертификата и непереизданием Сертификата в срок не позднее чем 3 года и 3 месяца с даты первоначальной выдачи/даты переподтверждения Сертификата;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empora LGC Uni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>- возможностью возобновления действия Сертификата, действие которого было приостановлено, после подачи Заявки согласно пункту 21.234 ФАП-21 и прохождением процедур сертификации с положительным результатом;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empora LGC Uni" w:cs="Times New Roman"/>
                <w:b/>
                <w:b/>
                <w:bCs/>
                <w:color w:val="000000" w:themeColor="text1"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>- необходимостью устранения несоответствий, выявленных в процессе рассмотрения Заявки (подпункт (с) пункт 21.234 ФАП-21), оценки соответствия требованиям ФАП-21 документов        и процедур (подпункт (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lang w:val="en-US"/>
              </w:rPr>
              <w:t>i</w:t>
            </w: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>) пункт 21.234 ФАП-21), в процессе выездной проверки 21.258 ФАП-21 в установленные сроки;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empora LGC Uni" w:cs="Times New Roman"/>
                <w:b/>
                <w:b/>
                <w:color w:val="000000" w:themeColor="text1"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</w:rPr>
              <w:t>- с тем, что информация о приостановленных Сертификатах размещена на сайте Росавиации, уведомление держателя Сертификата о его приостановке осуществляется в том числе посредством указанной в Заявке электронной почты;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eastAsia="Tempora LGC Uni" w:cs="Times New Roman" w:ascii="Times New Roman" w:hAnsi="Times New Roman"/>
                <w:b/>
                <w:bCs/>
                <w:color w:val="000000" w:themeColor="text1"/>
                <w:highlight w:val="white"/>
              </w:rPr>
              <w:t xml:space="preserve">А также удостоверяю, что предоставленная в данной Заявке информация верна. </w:t>
            </w:r>
          </w:p>
        </w:tc>
      </w:tr>
      <w:tr>
        <w:trPr>
          <w:trHeight w:val="1062" w:hRule="atLeast"/>
        </w:trPr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Дата    __________________</w:t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ФИО, должность руководителя организации-заявителя ______________________________________</w:t>
            </w:r>
          </w:p>
        </w:tc>
      </w:tr>
      <w:tr>
        <w:trPr>
          <w:trHeight w:val="874" w:hRule="atLeast"/>
        </w:trPr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360" w:hanging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20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Подпись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________________________________            </w:t>
            </w:r>
            <w:r>
              <w:rPr>
                <w:rFonts w:ascii="Times New Roman" w:hAnsi="Times New Roman"/>
              </w:rPr>
              <w:t>М.П.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Направление заявки</w:t>
            </w:r>
          </w:p>
        </w:tc>
      </w:tr>
      <w:tr>
        <w:trPr>
          <w:trHeight w:val="13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с приложенными документами, указанными в п. 4.1, а также Приложения должны быть направлены в Росавиацию в бумажном виде (оригинал) по адресу:</w:t>
            </w:r>
          </w:p>
          <w:p>
            <w:pPr>
              <w:pStyle w:val="ListParagraph"/>
              <w:spacing w:lineRule="auto" w:line="240" w:before="0" w:after="120"/>
              <w:ind w:left="1257" w:hanging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Ленинградский пр-т, д. 37, корп. 2,</w:t>
            </w:r>
          </w:p>
          <w:p>
            <w:pPr>
              <w:pStyle w:val="ListParagraph"/>
              <w:spacing w:lineRule="auto" w:line="240" w:before="0" w:after="120"/>
              <w:ind w:left="1257" w:hanging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Москва, 125993,</w:t>
            </w:r>
          </w:p>
          <w:p>
            <w:pPr>
              <w:pStyle w:val="ListParagraph"/>
              <w:spacing w:lineRule="auto" w:line="240" w:before="0" w:after="120"/>
              <w:ind w:left="1257" w:hanging="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Российская Федерация.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заявка должна направляться в Росавиацию сопроводительным письмом заявителя.</w:t>
            </w:r>
          </w:p>
        </w:tc>
      </w:tr>
      <w:tr>
        <w:trPr>
          <w:trHeight w:val="459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Результат выполнения заявки (заполняет ФАВТ)</w:t>
            </w:r>
          </w:p>
        </w:tc>
      </w:tr>
      <w:tr>
        <w:trPr>
          <w:trHeight w:val="459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850" w:header="708" w:top="1134" w:footer="708" w:bottom="765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Заявке №___________</w:t>
      </w:r>
    </w:p>
    <w:tbl>
      <w:tblPr>
        <w:tblStyle w:val="905"/>
        <w:tblW w:w="158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1"/>
        <w:gridCol w:w="4620"/>
        <w:gridCol w:w="2133"/>
        <w:gridCol w:w="2313"/>
        <w:gridCol w:w="2999"/>
        <w:gridCol w:w="2974"/>
      </w:tblGrid>
      <w:tr>
        <w:trPr>
          <w:trHeight w:val="1662" w:hRule="atLeast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Виды и категории АТ, системы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Разработка нового типа АТ/компонента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3А класса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Разработка модификации типовой конструкции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 разделу «Е» ФАП-21,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части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систем/подсистем, указанных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разделе 5</w:t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и тип разработанной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(разрабатываемой)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авиационной техники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Вид, номер и дата одобрительного документа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(СТ, ДСТ, СГКИ, одобрительное письмо на КИ)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или № заявки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получение одобрительного документа</w:t>
            </w:r>
          </w:p>
        </w:tc>
      </w:tr>
      <w:tr>
        <w:trPr>
          <w:trHeight w:val="61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>
        <w:trPr>
          <w:trHeight w:val="411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Пилотируемое гражданское воздушное судно</w:t>
            </w:r>
            <w:r>
              <w:rPr>
                <w:rFonts w:cs="Times New Roman" w:ascii="Times New Roman" w:hAnsi="Times New Roman"/>
              </w:rPr>
              <w:t>: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Самолеты транспортной категории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8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1.2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Легкие самолеты (и самолеты нормальной категории)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3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1.3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Вертолеты транспортной категории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71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Легкие вертолеты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Беспилотная авиационная система: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Беспилотная авиационная система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72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Беспилотная авиационная система с беспилотным воздушным судном максимальной взлётной массой менее 5700 кг, не осуществляющая полёты над населённой местностью и не предназначенная для перевозки пассажиров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Другое: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Аэростаты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3.2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  <w:t>Дирижабли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3.3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Автожиры, планеры, мотопланеры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8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Газотурбинные двигатели</w:t>
            </w:r>
            <w:r>
              <w:rPr>
                <w:rFonts w:cs="Times New Roman" w:ascii="Times New Roman" w:hAnsi="Times New Roman"/>
                <w:lang w:val="en-US"/>
              </w:rPr>
              <w:t>/</w:t>
            </w:r>
            <w:r>
              <w:rPr>
                <w:rFonts w:cs="Times New Roman" w:ascii="Times New Roman" w:hAnsi="Times New Roman"/>
              </w:rPr>
              <w:t>турбовинтовые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3.5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Поршневые двигатели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8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3.6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Электрические двигатели (и гибридные)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3.7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Вспомогательные двигатели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7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3.8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Воздушные винты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68" w:hRule="atLeast"/>
        </w:trPr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Компонент 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класса категории А:</w:t>
            </w:r>
          </w:p>
        </w:tc>
        <w:tc>
          <w:tcPr>
            <w:tcW w:w="21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905"/>
        <w:tblW w:w="158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34"/>
        <w:gridCol w:w="7406"/>
        <w:gridCol w:w="3421"/>
        <w:gridCol w:w="3709"/>
      </w:tblGrid>
      <w:tr>
        <w:trPr>
          <w:trHeight w:val="1056" w:hRule="atLeast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Система/подсистема согласно </w:t>
            </w:r>
            <w:r>
              <w:rPr>
                <w:rFonts w:cs="Times New Roman" w:ascii="Times New Roman" w:hAnsi="Times New Roman"/>
                <w:b/>
                <w:bCs/>
                <w:color w:val="000000"/>
              </w:rPr>
              <w:t xml:space="preserve">ГОСТ 18675-2012 «Документация эксплуатационная и ремонтная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на авиационную технику и покупные изделия для нее» Приложение А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Разработка нового типа АТ/компонента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3А класса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Разработка модификации типовой конструкции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 разделу «Е» ФАП-21,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части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систем/подсистем, указанных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разделе 5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5.00</w:t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00 Воздушное судно - общие сведения: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_DdeLink__5140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0"/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00-10 Общие указания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_DdeLink__5138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1"/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00-20 Меры безопасности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 xml:space="preserve">00-30 Предохранительные устройства и средства безопасности 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00-40 Указатели документов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00-41 Перечень обязательной документации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00-42 Информационные наборы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00-50 Перечень материалов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00-90 Дополнительные сведения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5.04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04 Ограничения летной годности: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_DdeLink__5146_1724646647"/>
            <w:bookmarkStart w:id="3" w:name="__DdeLink__5144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2"/>
            <w:bookmarkEnd w:id="3"/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04-10 Расчет выработки ресурса и прогнозирования усталости конструкции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_DdeLink__5142_1724646647"/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  <w:bookmarkEnd w:id="4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  <w:color w:val="5E5E5E"/>
              </w:rPr>
            </w:pPr>
            <w:r>
              <w:rPr>
                <w:rFonts w:cs="Times New Roman" w:ascii="Times New Roman" w:hAnsi="Times New Roman"/>
                <w:i/>
                <w:iCs/>
                <w:color w:val="5E5E5E"/>
              </w:rPr>
              <w:t>04-20 Эксплуатационные нагружения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5.05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05 Плановое/Неплановое техническое обслуживание: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05-10 Ресурсы и сроки службы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_DdeLink__5171_1724646647"/>
            <w:bookmarkStart w:id="6" w:name="__DdeLink__5148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5"/>
            <w:bookmarkEnd w:id="6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27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05-20 Состав работ по техническому обслуживанию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05-40 Плановое техническое обслуживание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05-50 Неплановое техническое обслуживание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05-60 Специальный контроль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5.06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06 Размеры, площади и зоны: 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06-10 Основные измерения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06-20 Координатные оси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06-30 Зоны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06-40 Обеспечение доступа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5.07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07 Установка на подъемники, транспортирование и аварийная эвакуация: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_DdeLink__5152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7"/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07-10 Подъем на подъемниках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_DdeLink__5150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8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07-20 Крепление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07-30 Подъем на стропах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07-40 Аварийная эвакуация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07-50 Транспортирование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5.08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08 Нивелировка и взвешивание: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46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08-10 Средства контроля массы и центровки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08-20 Нивелировка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08-30 Взвешивание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08-40 Данные о массе и центровке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08-50 Наземная балансировка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5.09</w:t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09 Буксировка и руление: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_DdeLink__5156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9"/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09-10 Буксировка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_DdeLink__515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10"/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09-20 Руление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5.10</w:t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 Стоянка, швартовка и хранение: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10-10 Стоянка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10-20 Швартовка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10-30 Хранение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10-40 Возобновление эксплуатации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5.11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11 Надписи и трафареты: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_DdeLink__5160_1724646647"/>
            <w:bookmarkStart w:id="12" w:name="__DdeLink__5158_17246466471"/>
            <w:r>
              <w:rPr>
                <w:rFonts w:eastAsia="Tempora LGC Uni" w:cs="Times New Roman" w:ascii="Times New Roman" w:hAnsi="Times New Roman"/>
              </w:rPr>
              <w:t>□</w:t>
            </w:r>
            <w:bookmarkEnd w:id="12"/>
            <w:r>
              <w:rPr>
                <w:rFonts w:eastAsia="Tempora LGC Uni" w:cs="Times New Roman" w:ascii="Times New Roman" w:hAnsi="Times New Roman"/>
              </w:rPr>
              <w:t xml:space="preserve"> </w:t>
            </w:r>
            <w:bookmarkEnd w:id="11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_DdeLink__5158_17246466472"/>
            <w:r>
              <w:rPr>
                <w:rFonts w:eastAsia="Tempora LGC Uni" w:cs="Times New Roman" w:ascii="Times New Roman" w:hAnsi="Times New Roman"/>
              </w:rPr>
              <w:t>□</w:t>
            </w:r>
            <w:bookmarkEnd w:id="13"/>
            <w:r>
              <w:rPr>
                <w:rFonts w:eastAsia="Tempora LGC Uni" w:cs="Times New Roman" w:ascii="Times New Roman" w:hAnsi="Times New Roman"/>
              </w:rPr>
              <w:t xml:space="preserve"> </w:t>
            </w:r>
          </w:p>
        </w:tc>
      </w:tr>
      <w:tr>
        <w:trPr>
          <w:trHeight w:val="228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11-10 Внешние цветовые схемы и маркировки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_DdeLink__5163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14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11-20 Внешние трафареты и маркировки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>
          <w:trHeight w:val="241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11-30 Внутренние трафареты и маркировки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49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5.12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12 Наземное (аэродромное) обслуживание: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__DdeLink__5169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15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302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12-10 Заправка и слив жидкостей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__DdeLink__5167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16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12-20 Плановое обслуживание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94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12-30 Неплановое обслуживание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5.14</w:t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14 Загрузка и разгрузка: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14-10 Наземное оборудование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14-20 Груз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14-30 Внутреннее и внешнее оборудование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14-31 Основная информация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14-32 Дополнительная информация 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14-33 Процедуры загрузки</w:t>
            </w:r>
          </w:p>
        </w:tc>
        <w:tc>
          <w:tcPr>
            <w:tcW w:w="342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132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14-34 Процедуры выгрузки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14-35 Типовые схемы обработки грузов на борту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14-15 Информация для экипажа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5.18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18 Анализ и снижение уровня вибрации и шума: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__DdeLink__5175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17"/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18-10 Анализ вибрации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  <w:bookmarkStart w:id="18" w:name="__DdeLink__5173_1724646647"/>
            <w:r>
              <w:rPr>
                <w:rFonts w:eastAsia="Tempora LGC Uni" w:cs="Times New Roman" w:ascii="Times New Roman" w:hAnsi="Times New Roman"/>
              </w:rPr>
              <w:t xml:space="preserve"> </w:t>
            </w:r>
            <w:bookmarkEnd w:id="18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18-20 Анализ шума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18-30 Активное подавление шума и вибрации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>
          <w:trHeight w:val="205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18-40 Обнаружение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18-50 Управление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>
          <w:trHeight w:val="246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18-60 Пассивная шумо- и виброзащита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550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5.20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20 Стандартизированные технологические процессы, относящиеся к функциональным системам воздушного судна.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__DdeLink__5177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19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5.21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21 Система кондиционирования воздуха: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21-20 Наддув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21-20 Распределение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21-30 Регулирования давления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21-40 Обогрев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21-50 Охлаждение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21-60 Регулирование температуры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21-70 Регулирование влажности/загрязнения воздуха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21-80 Жидкие/газообразные хладагенты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21-90 Интегрированная система обеспечения жизнедеятельности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5.22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22 Система автоматического управления полетом: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__DdeLink__5181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20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22-10 Автопилот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  <w:bookmarkStart w:id="21" w:name="__DdeLink__5179_1724646647"/>
            <w:r>
              <w:rPr>
                <w:rFonts w:eastAsia="Tempora LGC Uni" w:cs="Times New Roman" w:ascii="Times New Roman" w:hAnsi="Times New Roman"/>
              </w:rPr>
              <w:t xml:space="preserve"> </w:t>
            </w:r>
            <w:bookmarkEnd w:id="21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22-20 Средства коррекции скорости и пространственного положения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22-30 Автомат тяги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22-40 Встроенные средства контроля системы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22-50 Средства снижения аэродинамических нагружений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5.23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23 Система связи: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23-10 Голосовая связь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23-15 Спутниковая связь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23-20 Средства цифрового обмена данными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23-30 Средства оповещения и развлечения пассажиров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23-40 Внутренняя связь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23-50 Интегрированная система голосовой связи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23-60 Статические разрядники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23-70 Аппаратура звуко- и видеозаписи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23-80 Система автоматической настройки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5.24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24 Система электроснабжения: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24-10 Привод генератора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_DdeLink__5183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22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24-20 Подсистема генерирования переменного тока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24-30 Подсистема генерирования постоянного тока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24-40 Подсистема наземного электроснабжения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24-50 Подсистема распределения переменного тока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24-60 Подсистема распределения постоянного тока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24-70 Подсистема контроля и защиты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24-80 Подсистема управления электроснабжением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24-90 Коммутационное электрооборудование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5.25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25 Бытовое и аварийно-спасательное оборудование: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25-10 Кабина экипажа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__DdeLink__5186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23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25-20 Пассажирский салон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25-30 Буфет/кухня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25-40 Туалеты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25-50 Дополнительные отсеки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25-60 Аварийно-спасательное оборудование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25-70 Резерв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25-80 Изоляция и облицовка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5.26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26 Противопожарная система: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26-10 Средства сигнализации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__DdeLink__5188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24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26-20 Средства пожаротушения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26-30 Средства предотвращения взрывов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5.27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lang w:eastAsia="ru-RU"/>
              </w:rPr>
              <w:t>27 Система управления воздушным судном: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27-10 Поперечное управление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__DdeLink__5190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25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27-20 Путевое управление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27-30 Продольное управление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27-40 Управление стабилизатором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27-50 Управление закрылками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27-60 Управление интерцепторами, тормозными щитками и различными аэродинамическими обтекателями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27-70 Стояночные стопоры и демпферы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27-80 Механизация крыла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5.28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28 Топливная система: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28-10 Подсистема хранения топлива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28-20 Подсистема распределения топлива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28-30 Подсистема слива топлива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28-40 Подсистема сигнализации и индикации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28-50 Подсистема дозаправки в полете (если установлена)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28-60 Подсистема управления заправкой топлива/центровкой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5.22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29 Гидравлическая система: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__DdeLink__5196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26"/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29-10 Основная система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__DdeLink__519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27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29-20 Резервная система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29-30 Подсистема сигнализации и индикации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5.29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30 Противообледенитель система: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30-10 Защита аэродинамических поверхностей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30-20 Защита воздухозаборных устройств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30-30 Защита приемников воздушного давления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30-40 Защита окон, лобовых стекол, фонарей и люков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30-50 Защита антенн и радиопрозрачных обтекателей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30-60 Защита воздушных винтов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30-70 Защита водяных трубопроводов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30-80 Средства обнаружения и сигнализации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5.31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31 Оборудование индикации и регистрации: 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__DdeLink__5200_1724646647"/>
            <w:r>
              <w:rPr>
                <w:rFonts w:eastAsia="Tempora LGC Uni" w:cs="Times New Roman" w:ascii="Times New Roman" w:hAnsi="Times New Roman"/>
              </w:rPr>
              <w:t>□</w:t>
            </w:r>
            <w:bookmarkEnd w:id="28"/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31-10 Приборные доски и панели управления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31-20 Автономные приборы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31-30 Бортовые устройства регистрации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31-40 Главные вычислители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31-50 Централизованные системы оповещения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31-60 Централизованные системы индикации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31-70 Системы сбора и передачи данных о состоянии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5.32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32 Взлетно-посадочные устройства (шасси):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__DdeLink__5202_1724646647"/>
            <w:r>
              <w:rPr>
                <w:rFonts w:eastAsia="Tempora LGC Uni" w:cs="Times New Roman" w:ascii="Times New Roman" w:hAnsi="Times New Roman"/>
              </w:rPr>
              <w:t>□</w:t>
            </w:r>
            <w:bookmarkEnd w:id="29"/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32-10 Основные опоры и створки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32-20 Носовая/хвостовая опора и створки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32-30 Подсистема выпуска уборки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32-40 Колеса и тормозная система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32-50 Подсистема управления движением по земле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>
          <w:trHeight w:val="28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32-60 Подсистема сигнализации положения шасси/створок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8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32-70 Вспомогательные опоры шасси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32-80 Тормозной парашют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32-90 Тормозной крюк/вспомогательное посадочное оборудование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5.33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33 Светотехническое оборудование: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__DdeLink__5204_1724646647"/>
            <w:r>
              <w:rPr>
                <w:rFonts w:eastAsia="Tempora LGC Uni" w:cs="Times New Roman" w:ascii="Times New Roman" w:hAnsi="Times New Roman"/>
              </w:rPr>
              <w:t>□</w:t>
            </w:r>
            <w:bookmarkEnd w:id="30"/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33-10 Кабина экипажа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33-20 Пассажирские салоны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33-30 Грузовые и служебные отсеки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33-40 Наружное освещение и огни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33-50 Аварийное освещение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5.34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34 Пилотажно-навигационное оборудование: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34-10 Подсистема информации об условиях полета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34-20 Подсистема информации о пространственном положении и курсе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34-30 Средства обеспечения посадки и руления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34-40 Средства автономного определения положения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34-50 Средства зависимого определения положения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34-60 Вычислитель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5.35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35 Кислородная система: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35-10 Кислородная система для экипажа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35-20 Кислородная система для пассажиров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35-30 Переносная кислородная система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35-40 Бортовая кислорододобывающая система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5.36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36 Пневматическая система: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36-10 Распределение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" w:name="__DdeLink__5206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31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36-20 Подсистема сигнализации и индикации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5.37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37 Вакуумная система: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37-10 Распределение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" w:name="__DdeLink__5208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32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37-20 Подсистема сигнализации и индикации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5.38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38 Система водоснабжения и утилизации отходов: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38-10 Подсистема питьевой воды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" w:name="__DdeLink__5210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33"/>
          </w:p>
        </w:tc>
        <w:tc>
          <w:tcPr>
            <w:tcW w:w="3709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38-20 Подсистема технической воды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38-30 Подсистема утилизации отходов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38-40 Подсистема нагнетания воздуха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5.41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41 Водобалластная система: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41-10 Подсистема хранения воды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" w:name="__DdeLink__5212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34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41-20 Подсистема слива воды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41-30 Подсистема сигнализации и индикации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5.42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42 Интегрированная модульная авионика: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16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42-20 Базовая система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__DdeLink__521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35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42-30 Компоненты сети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5.44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44 Оборудование пассажирского салона: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44-20 Подсистема развлечения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" w:name="__DdeLink__5216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36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44-30 Подсистема внешней связи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44-40 Накопители данных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44-50 Система мониторинга обстановки в салоне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05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44-60 Прочите системы салона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5.45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45 Система поддержки технического обслуживания (СПТО):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45 с -04 по -19 СПТО Общие функции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" w:name="__DdeLink__5218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37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45 с -20 по -44, с -46 по -49 СПТО - Системы планера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45-45 Подсистема управления задачами технического обслуживания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45 с -50 по -59 СПТО - Конструкции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45 с -60 по -69 СПТО Воздушные винты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45 с -70 по -89 СПТО - силовая установка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" w:name="__DdeLink__5220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38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5.46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46 Информационная система хранения технической документации: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46-10 Общая информационная система ВС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46-20 Информационная система кабины экипажа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46-30 Информационная система для технического обслуживания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46-40 Информационная система пассажирского салона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46-50 Прочие информационные системы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89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5.47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47 Система жидкого азота: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99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47-10 Подсистема выработки и хранения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" w:name="__DdeLink__5222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39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47-20 Подсистема распределения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47-30 Подсистема управления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94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47-40 Подсистема сигнализации и индикации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5.49</w:t>
            </w:r>
          </w:p>
        </w:tc>
        <w:tc>
          <w:tcPr>
            <w:tcW w:w="7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49 Вспомогательная силовая установка: 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49-10 Силовая установка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" w:name="__DdeLink__5224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40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49-20 Двигатель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49-30 Топливная система двигателя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49-40 Зажигание/запуск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49-50 Воздушная система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49-60 Органы управления двигателем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49-70 Приборы контроля двигателя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49-80 Выхлопная система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49-90 Масляная система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5.50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50 Оборудование грузовых и вспомогательных отсеков: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50-10 Грузовые отсеки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" w:name="__DdeLink__5226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41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50-20 Системы погрузки грузов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50-30 Системы, связанные с обслуживанием груза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50-40 Воздушное десантирование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50-50 Вспомогательные отсеки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5</w:t>
            </w: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0-60 Изоляция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5.51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51 Стандартизированные технологические процессы, относящиеся к планеру воздушного судна: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51-10 Качество аэродинамических поверхностей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" w:name="__DdeLink__5228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42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51-20 Технологические процессы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51-30 Материалы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51-40 Крепежные изделия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51-50 Установка воздушного судна для ремонта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51-60 Балансировка рулевых поверхностей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51-70 Ремонт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51-80 Металлизация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5.52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52 Двери, люки, створки: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52-10 Двери для пассажиров/экипажа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" w:name="__DdeLink__5230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43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52-30 Грузовые люки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52-40 Технологические люки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52-50 Стандартные внутренние двери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52-60 Входной трап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52-70 Сигнализация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52-80 Створки шасси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5.53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53 Фюзеляж: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53 с -10 по -90 Секции фюзеляжа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" w:name="__DdeLink__5232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44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5.54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54 Гондолы/пилоны: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54 с -10 по -40 Секции гондолы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" w:name="__DdeLink__523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45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54 с -40 по -80 Пилоны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54-90 Управление воздушным потоком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5.55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55 Оперение: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55-10 Горизонтальный стабилизатор или переднее горизонтальное оперение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" w:name="__DdeLink__5236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46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60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55-20 Руль высоты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55-30 Вертикальный стабилизатор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55-40 Руль направления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55-50 Дополнительные стабилизаторы и крыльевые наплывы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5.56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56 Окна и фонари: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" w:name="__DdeLink__5240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47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56-10 Кабина экипажа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" w:name="__DdeLink__5238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48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56-20 Пассажирский салон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56-30 Двери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56-40 Окна для осмотра и наблюдения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5.57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57 Крылья: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57-10 Центроплан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184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57-20 Отъемные части крыла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57-30 Законцовки крыла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57-40 Передние кромки и их механизация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57-50 Задние кромки и их механизации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57-60 Элероны, элевоны и флапероны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57-70 Интерцепторы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57-80 Подсистема складывания крыльев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5.60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60 Стандартизированные технологические процессы, относящиеся к воздушным винтам и трансмиссии.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" w:name="__DdeLink__5242_1724646647"/>
            <w:r>
              <w:rPr>
                <w:rFonts w:eastAsia="Tempora LGC Uni" w:cs="Times New Roman" w:ascii="Times New Roman" w:hAnsi="Times New Roman"/>
              </w:rPr>
              <w:t>□</w:t>
            </w:r>
            <w:bookmarkEnd w:id="49"/>
            <w:r>
              <w:rPr>
                <w:rFonts w:eastAsia="Tempora LGC Uni" w:cs="Times New Roman" w:ascii="Times New Roman" w:hAnsi="Times New Roman"/>
              </w:rPr>
              <w:t xml:space="preserve">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5.61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61 Воздушные винты/движители: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  <w:t xml:space="preserve">61-10 Воздушный винт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  <w:t>61-20 Подсистема управления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  <w:t xml:space="preserve">61-30 Подсистема торможения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  <w:t xml:space="preserve">61-40 Подсистема индикации и сигнализации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 w:val="false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 w:val="false"/>
                <w:iCs w:val="false"/>
                <w:color w:val="1B1B1B"/>
                <w:kern w:val="0"/>
                <w:sz w:val="22"/>
                <w:szCs w:val="22"/>
                <w:lang w:val="ru-RU" w:eastAsia="en-US" w:bidi="ar-SA"/>
              </w:rPr>
              <w:t>61-50 Защитный кожух двигателя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5.62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62 Несущие винты: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62-10 Лопасть несущего винта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62-20 Втулка несущего винта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empora LGC Un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empora LGC Un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62-30 Органы управления вращением, валы несущего винта/агрегаты автомата перекоса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empora LGC Un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empora LGC Un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58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62-40 Индикация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5.63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63 Трансмиссия несущего винта: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352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63-10 Взаимодействие «двигатель-редуктор»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" w:name="__DdeLink__524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50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63-20 Главный редуктор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63-30 Подвеска и крепление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63-40 Индикация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5.64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64 Хвостовой винт: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64-10 Лопасти хвостового винта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empora LGC Uni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bookmarkStart w:id="51" w:name="__DdeLink__5246_1724646647"/>
            <w:r>
              <w:rPr>
                <w:rFonts w:eastAsia="Tempora LGC Uni" w:cs="Times New Roman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-</w:t>
            </w:r>
            <w:bookmarkEnd w:id="51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64-20 Втулка хвостового винта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64-30 Органы управления вращением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64-40 Индикация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5.65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65 Трансмиссия хвостового винта: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" w:name="__DdeLink__5248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52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65-10 Вал трансмиссии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65-20 Редукторы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65-40 Индикация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5.66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66 Складывающиеся лопасти/Хвостовая балка: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66-10 Лопасти несущего винта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66-20 Балка хвостового винта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66-30 Органы управления и индикации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5.67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67 Система управления винтами вертолета: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" w:name="__DdeLink__5252_1724646647"/>
            <w:r>
              <w:rPr>
                <w:rFonts w:eastAsia="Tempora LGC Uni" w:cs="Times New Roman" w:ascii="Times New Roman" w:hAnsi="Times New Roman"/>
              </w:rPr>
              <w:t>□</w:t>
            </w:r>
            <w:bookmarkEnd w:id="53"/>
            <w:r>
              <w:rPr>
                <w:rFonts w:eastAsia="Tempora LGC Uni"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67-10 Управление несущим винтом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" w:name="__DdeLink__5250_1724646647"/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  <w:bookmarkEnd w:id="54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67-20 Управление хвостовым винтом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67-30 Система сервоуправления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5.70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 Стандартизированные технологические процессы, относящиеся к силовой установке: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70-10 Маркировка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  <w:bookmarkStart w:id="55" w:name="__DdeLink__5254_1724646647"/>
            <w:r>
              <w:rPr>
                <w:rFonts w:eastAsia="Tempora LGC Uni" w:cs="Times New Roman" w:ascii="Times New Roman" w:hAnsi="Times New Roman"/>
              </w:rPr>
              <w:t xml:space="preserve"> </w:t>
            </w:r>
            <w:bookmarkEnd w:id="55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70-20 Очистка и удаление покрытий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70-30 Методы контроля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70-40 Основные технологические процессы ремонта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5.71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71 Силовая установка: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71-10 Капот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" w:name="__DdeLink__5256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56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71-20 Крепление двигателя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71-30 Противопожарные перегородки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71-40 Присоединительные фитинги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71-50 Электрические жгуты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71-60 Воздухозаборное устройство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71-70 Система дренажа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71-80 Вспомогательные системы двигателя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5.72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72 Двигатель газотурбинный/турбовинтовой: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72-10 Редуктор и трансмиссия (турбовинтовой двигатель)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305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72-20 Воздухозаборник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12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72-30 Компрессор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72-40 Камера сгорания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72-50 Турбина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72-60 Коробки проводов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72-70 Наружный контур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72-90 Газогенератор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" w:name="__DdeLink__5258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57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5.72.1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72 Двигатель поршневой: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72-10 Передняя секция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96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72-20 Силовая секция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72-30 Цилиндровая секция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294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72-40 Секция наддува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2"/>
                <w:szCs w:val="22"/>
                <w:lang w:val="ru-RU" w:eastAsia="en-US" w:bidi="ar-SA"/>
              </w:rPr>
              <w:t>72-50 Система смазки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5.73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73 Топливная система двигателя: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□</w:t>
            </w:r>
          </w:p>
        </w:tc>
      </w:tr>
      <w:tr>
        <w:trPr>
          <w:trHeight w:val="28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73-10 Подсистема распределения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" w:name="__DdeLink__5260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58"/>
            <w:r>
              <w:rPr>
                <w:rFonts w:eastAsia="Tempora LGC Uni" w:cs="Times New Roman" w:ascii="Times New Roman" w:hAnsi="Times New Roman"/>
              </w:rPr>
              <w:t xml:space="preserve">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73-20 Подсистема топливного регулирования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73-30 Подсистема индикации и сигнализации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5.74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74 Система зажигания: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74-10 Подсистема электропитания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" w:name="__DdeLink__5262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59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74-20 Подсистема распределения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74-30 Подсистема выключение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5.75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75 Система отбора воздуха: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75-10 Противообледенительная система двигателя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" w:name="__DdeLink__526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60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75-20 Подсистема охлаждения вспомогательного оборудования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75-30 Подсистема управления компрессором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75-40 Подсистема индикации и сигнализации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75-50 Подсистема защиты от попадания посторонних предметов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5.76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76 Система управления двигателем: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" w:name="__DdeLink__5268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61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76-10 Подсистема управления режимами работы двигателя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" w:name="__DdeLink__5266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62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76-20 Подсистема аварийного останова двигателя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5.77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77 Приборы контроля двигателя: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77-10 Приборы контроля мощности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77-20 Приборы контроля температуры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77-40 Комплексная система двигателя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5.78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78 Система выхлопа: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78-10 Выхлопное устройство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" w:name="__DdeLink__5270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63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78-20 Шумоглушитель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78-30 Реверс тяги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78-40 Дополнительный воздух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78-50 Форсажная камера (если установлена)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5.79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79 Масляная система: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79-10 подсистема хранения масла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" w:name="__DdeLink__5272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64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79-20 Подсистема распределения масла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bCs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79-30 Подсистема индикации и сигнализации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5.80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80 Система запуска: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" w:name="__DdeLink__5280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65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80-10 Подсистема раскрутки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" w:name="__DdeLink__527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66"/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5.81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81 Турбонагнетатели (турбостартеры и средства наддува):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" w:name="__DdeLink__5278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67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81-10 Утилизирующие турбины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" w:name="__DdeLink__5276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68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81-20 Турбонагнетатели 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5.82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82 Система впрыска воды: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82-10 Подсистема хранения воды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__DdeLink__5282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69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 xml:space="preserve">82-20 Подсистема распределения 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82-30 Подсистема слива и очистки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82-40 Подсистема индикации и сигнализации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5.83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83 Коробки приводов агрегатов: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__DdeLink__5286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70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83-10 Вал привода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__DdeLink__5284_1724646647"/>
            <w:r>
              <w:rPr>
                <w:rFonts w:eastAsia="Tempora LGC Uni" w:cs="Times New Roman" w:ascii="Times New Roman" w:hAnsi="Times New Roman"/>
              </w:rPr>
              <w:t>-</w:t>
            </w:r>
            <w:bookmarkEnd w:id="71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83-20 Коробка приводов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5.86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86 Средства управления подъемной силой при вертикальном и укороченном взлете: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__DdeLink__5288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72"/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>
          <w:trHeight w:val="334" w:hRule="atLeast"/>
        </w:trPr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86-10 Вентилятор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86-20 Вал привода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86-30 Регулируемое сопло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86-40 Подсистема управления крену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-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5.90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90 Система спасения воздушного судна: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__DdeLink__5290_1724646647"/>
            <w:r>
              <w:rPr>
                <w:rFonts w:eastAsia="Tempora LGC Uni" w:cs="Times New Roman" w:ascii="Times New Roman" w:hAnsi="Times New Roman"/>
              </w:rPr>
              <w:t xml:space="preserve">□ </w:t>
            </w:r>
            <w:bookmarkEnd w:id="73"/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90-10 Парашютная подсистема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90-20 Подсистема амортизации удара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90-30 Подсистема управления средства спасения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90-40 Подсистема сигнализации местоположения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5.91</w:t>
            </w:r>
          </w:p>
        </w:tc>
        <w:tc>
          <w:tcPr>
            <w:tcW w:w="7406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91 Электрические схемы.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95-20 Люки аварийного покидания/фонари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95-50 Аварийные комплекты для выживания</w:t>
            </w:r>
          </w:p>
        </w:tc>
        <w:tc>
          <w:tcPr>
            <w:tcW w:w="3421" w:type="dxa"/>
            <w:tcBorders>
              <w:lef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406" w:type="dxa"/>
            <w:tcBorders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i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iCs/>
                <w:color w:val="5E5E5E"/>
                <w:kern w:val="0"/>
                <w:sz w:val="22"/>
                <w:szCs w:val="22"/>
                <w:lang w:val="ru-RU" w:eastAsia="en-US" w:bidi="ar-SA"/>
              </w:rPr>
              <w:t>95-60 Средства защиты от удара и обеспечения плавучести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4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Перечень ограничений по видам АТ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и выполняемых работ</w:t>
            </w:r>
          </w:p>
        </w:tc>
        <w:tc>
          <w:tcPr>
            <w:tcW w:w="3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  <w:tc>
          <w:tcPr>
            <w:tcW w:w="3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empora LGC Uni" w:cs="Times New Roman" w:ascii="Times New Roman" w:hAnsi="Times New Roman"/>
              </w:rPr>
              <w:t xml:space="preserve">□ 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709" w:right="1134" w:header="708" w:top="1134" w:footer="708" w:bottom="85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200"/>
        <w:rPr>
          <w:sz w:val="12"/>
          <w:szCs w:val="12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850" w:header="708" w:top="1134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byssinica SIL">
    <w:charset w:val="01"/>
    <w:family w:val="roman"/>
    <w:pitch w:val="default"/>
  </w:font>
  <w:font w:name="Tempora LGC Un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Calibri" w:cs="Times New Roman" w:eastAsiaTheme="minorHAnsi"/>
        <w:i/>
        <w:i/>
        <w:iCs/>
        <w:color w:val="5E5E5E"/>
        <w:kern w:val="0"/>
        <w:sz w:val="22"/>
        <w:szCs w:val="22"/>
        <w:lang w:val="ru-RU" w:eastAsia="en-US" w:bidi="ar-SA"/>
      </w:rPr>
    </w:pPr>
    <w:r>
      <w:rPr>
        <w:rFonts w:eastAsia="Calibri" w:cs="Times New Roman" w:eastAsiaTheme="minorHAnsi" w:ascii="Times New Roman" w:hAnsi="Times New Roman"/>
        <w:i/>
        <w:iCs/>
        <w:color w:val="5E5E5E"/>
        <w:kern w:val="0"/>
        <w:sz w:val="22"/>
        <w:szCs w:val="22"/>
        <w:lang w:val="ru-RU" w:eastAsia="en-US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b/>
        <w:b/>
        <w:bCs/>
      </w:rPr>
    </w:pPr>
    <w:r>
      <w:rPr>
        <w:b/>
        <w:bCs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b/>
        <w:b/>
        <w:bCs/>
      </w:rPr>
    </w:pPr>
    <w:r>
      <w:rPr>
        <w:b/>
        <w:bCs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link w:val="864"/>
    <w:uiPriority w:val="9"/>
    <w:qFormat/>
    <w:pPr>
      <w:keepNext w:val="true"/>
      <w:keepLines/>
      <w:widowControl/>
      <w:suppressAutoHyphens w:val="true"/>
      <w:bidi w:val="0"/>
      <w:spacing w:lineRule="auto" w:line="276" w:beforeAutospacing="0" w:before="480" w:afterAutospacing="0" w:after="0"/>
      <w:jc w:val="left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ru-RU" w:eastAsia="en-US" w:bidi="ar-SA"/>
    </w:rPr>
  </w:style>
  <w:style w:type="paragraph" w:styleId="2">
    <w:name w:val="Heading 2"/>
    <w:link w:val="865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kern w:val="0"/>
      <w:sz w:val="26"/>
      <w:szCs w:val="26"/>
      <w:lang w:val="ru-RU" w:eastAsia="en-US" w:bidi="ar-SA"/>
    </w:rPr>
  </w:style>
  <w:style w:type="paragraph" w:styleId="3">
    <w:name w:val="Heading 3"/>
    <w:link w:val="866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2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kern w:val="0"/>
      <w:sz w:val="22"/>
      <w:szCs w:val="22"/>
      <w:lang w:val="ru-RU" w:eastAsia="en-US" w:bidi="ar-SA"/>
    </w:rPr>
  </w:style>
  <w:style w:type="paragraph" w:styleId="4">
    <w:name w:val="Heading 4"/>
    <w:link w:val="867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3"/>
    </w:pPr>
    <w:rPr>
      <w:rFonts w:ascii="Cambria" w:hAnsi="Cambria" w:eastAsia="Arial" w:cs="Arial" w:asciiTheme="majorHAnsi" w:cstheme="majorBidi" w:eastAsiaTheme="majorEastAsia" w:hAnsiTheme="majorHAnsi"/>
      <w:b/>
      <w:bCs/>
      <w:i/>
      <w:iCs/>
      <w:color w:val="4F81BD" w:themeColor="accent1"/>
      <w:kern w:val="0"/>
      <w:sz w:val="22"/>
      <w:szCs w:val="22"/>
      <w:lang w:val="ru-RU" w:eastAsia="en-US" w:bidi="ar-SA"/>
    </w:rPr>
  </w:style>
  <w:style w:type="paragraph" w:styleId="5">
    <w:name w:val="Heading 5"/>
    <w:link w:val="868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4"/>
    </w:pPr>
    <w:rPr>
      <w:rFonts w:ascii="Cambria" w:hAnsi="Cambria" w:eastAsia="Arial" w:cs="Arial" w:asciiTheme="majorHAnsi" w:cstheme="majorBidi" w:eastAsiaTheme="majorEastAsia" w:hAnsiTheme="majorHAnsi"/>
      <w:color w:val="243F60" w:themeColor="accent1" w:themeShade="7f"/>
      <w:kern w:val="0"/>
      <w:sz w:val="22"/>
      <w:szCs w:val="22"/>
      <w:lang w:val="ru-RU" w:eastAsia="en-US" w:bidi="ar-SA"/>
    </w:rPr>
  </w:style>
  <w:style w:type="paragraph" w:styleId="6">
    <w:name w:val="Heading 6"/>
    <w:link w:val="869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5"/>
    </w:pPr>
    <w:rPr>
      <w:rFonts w:ascii="Cambria" w:hAnsi="Cambria" w:eastAsia="Arial" w:cs="Arial" w:asciiTheme="majorHAnsi" w:cstheme="majorBidi" w:eastAsiaTheme="majorEastAsia" w:hAnsiTheme="majorHAnsi"/>
      <w:i/>
      <w:iCs/>
      <w:color w:val="243F60" w:themeColor="accent1" w:themeShade="7f"/>
      <w:kern w:val="0"/>
      <w:sz w:val="22"/>
      <w:szCs w:val="22"/>
      <w:lang w:val="ru-RU" w:eastAsia="en-US" w:bidi="ar-SA"/>
    </w:rPr>
  </w:style>
  <w:style w:type="paragraph" w:styleId="7">
    <w:name w:val="Heading 7"/>
    <w:link w:val="870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6"/>
    </w:pPr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  <w:kern w:val="0"/>
      <w:sz w:val="22"/>
      <w:szCs w:val="22"/>
      <w:lang w:val="ru-RU" w:eastAsia="en-US" w:bidi="ar-SA"/>
    </w:rPr>
  </w:style>
  <w:style w:type="paragraph" w:styleId="8">
    <w:name w:val="Heading 8"/>
    <w:link w:val="871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7"/>
    </w:pPr>
    <w:rPr>
      <w:rFonts w:ascii="Cambria" w:hAnsi="Cambria" w:eastAsia="Arial" w:cs="Arial" w:asciiTheme="majorHAnsi" w:cstheme="majorBidi" w:eastAsiaTheme="majorEastAsia" w:hAnsiTheme="majorHAnsi"/>
      <w:color w:val="404040" w:themeColor="text1" w:themeTint="bf"/>
      <w:kern w:val="0"/>
      <w:sz w:val="20"/>
      <w:szCs w:val="20"/>
      <w:lang w:val="ru-RU" w:eastAsia="en-US" w:bidi="ar-SA"/>
    </w:rPr>
  </w:style>
  <w:style w:type="paragraph" w:styleId="9">
    <w:name w:val="Heading 9"/>
    <w:link w:val="872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76" w:beforeAutospacing="0" w:before="200" w:afterAutospacing="0" w:after="0"/>
      <w:jc w:val="left"/>
      <w:outlineLvl w:val="8"/>
    </w:pPr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  <w:kern w:val="0"/>
      <w:sz w:val="20"/>
      <w:szCs w:val="20"/>
      <w:lang w:val="ru-RU" w:eastAsia="en-US" w:bidi="ar-SA"/>
    </w:rPr>
  </w:style>
  <w:style w:type="character" w:styleId="Heading1Char">
    <w:name w:val="Heading 1 Char"/>
    <w:basedOn w:val="DefaultParagraphFont"/>
    <w:link w:val="85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85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853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85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85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85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85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85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85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873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875"/>
    <w:uiPriority w:val="11"/>
    <w:qFormat/>
    <w:rPr>
      <w:sz w:val="24"/>
      <w:szCs w:val="24"/>
    </w:rPr>
  </w:style>
  <w:style w:type="character" w:styleId="QuoteChar">
    <w:name w:val="Quote Char"/>
    <w:link w:val="881"/>
    <w:uiPriority w:val="29"/>
    <w:qFormat/>
    <w:rPr>
      <w:i/>
    </w:rPr>
  </w:style>
  <w:style w:type="character" w:styleId="IntenseQuoteChar">
    <w:name w:val="Intense Quote Char"/>
    <w:link w:val="883"/>
    <w:uiPriority w:val="30"/>
    <w:qFormat/>
    <w:rPr>
      <w:i/>
    </w:rPr>
  </w:style>
  <w:style w:type="character" w:styleId="CaptionChar">
    <w:name w:val="Caption Char"/>
    <w:link w:val="908"/>
    <w:uiPriority w:val="99"/>
    <w:qFormat/>
    <w:rPr/>
  </w:style>
  <w:style w:type="character" w:styleId="FootnoteTextChar">
    <w:name w:val="Footnote Text Char"/>
    <w:link w:val="888"/>
    <w:uiPriority w:val="99"/>
    <w:qFormat/>
    <w:rPr>
      <w:sz w:val="18"/>
    </w:rPr>
  </w:style>
  <w:style w:type="character" w:styleId="EndnoteTextChar">
    <w:name w:val="Endnote Text Char"/>
    <w:link w:val="891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851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link w:val="852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link w:val="853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link w:val="854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link w:val="855"/>
    <w:uiPriority w:val="9"/>
    <w:qFormat/>
    <w:rPr>
      <w:rFonts w:ascii="Cambria" w:hAnsi="Cambria" w:eastAsia="Arial" w:cs="Arial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link w:val="856"/>
    <w:uiPriority w:val="9"/>
    <w:qFormat/>
    <w:rPr>
      <w:rFonts w:ascii="Cambria" w:hAnsi="Cambria" w:eastAsia="Arial" w:cs="Arial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link w:val="857"/>
    <w:uiPriority w:val="9"/>
    <w:qFormat/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link w:val="858"/>
    <w:uiPriority w:val="9"/>
    <w:qFormat/>
    <w:rPr>
      <w:rFonts w:ascii="Cambria" w:hAnsi="Cambria" w:eastAsia="Arial" w:cs="Arial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link w:val="859"/>
    <w:uiPriority w:val="9"/>
    <w:qFormat/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5" w:customStyle="1">
    <w:name w:val="Заголовок Знак"/>
    <w:link w:val="873"/>
    <w:uiPriority w:val="10"/>
    <w:qFormat/>
    <w:rPr>
      <w:rFonts w:ascii="Cambria" w:hAnsi="Cambria" w:eastAsia="Arial" w:cs="Arial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6" w:customStyle="1">
    <w:name w:val="Подзаголовок Знак"/>
    <w:link w:val="875"/>
    <w:uiPriority w:val="11"/>
    <w:qFormat/>
    <w:rPr>
      <w:rFonts w:ascii="Cambria" w:hAnsi="Cambria" w:eastAsia="Arial" w:cs="Arial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Style7">
    <w:name w:val="Выделение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Pr>
      <w:b/>
      <w:bCs/>
    </w:rPr>
  </w:style>
  <w:style w:type="character" w:styleId="22" w:customStyle="1">
    <w:name w:val="Цитата 2 Знак"/>
    <w:link w:val="881"/>
    <w:uiPriority w:val="29"/>
    <w:qFormat/>
    <w:rPr>
      <w:i/>
      <w:iCs/>
      <w:color w:val="000000" w:themeColor="text1"/>
    </w:rPr>
  </w:style>
  <w:style w:type="character" w:styleId="Style8" w:customStyle="1">
    <w:name w:val="Выделенная цитата Знак"/>
    <w:link w:val="883"/>
    <w:uiPriority w:val="30"/>
    <w:qFormat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Style9" w:customStyle="1">
    <w:name w:val="Текст сноски Знак"/>
    <w:link w:val="888"/>
    <w:uiPriority w:val="99"/>
    <w:semiHidden/>
    <w:qFormat/>
    <w:rPr>
      <w:sz w:val="20"/>
      <w:szCs w:val="20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Pr>
      <w:vertAlign w:val="superscript"/>
    </w:rPr>
  </w:style>
  <w:style w:type="character" w:styleId="Style11" w:customStyle="1">
    <w:name w:val="Текст концевой сноски Знак"/>
    <w:link w:val="891"/>
    <w:uiPriority w:val="99"/>
    <w:semiHidden/>
    <w:qFormat/>
    <w:rPr>
      <w:sz w:val="20"/>
      <w:szCs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13">
    <w:name w:val="Интернет-ссылка"/>
    <w:uiPriority w:val="99"/>
    <w:unhideWhenUsed/>
    <w:rPr>
      <w:color w:val="0000FF" w:themeColor="hyperlink"/>
      <w:u w:val="single"/>
    </w:rPr>
  </w:style>
  <w:style w:type="character" w:styleId="Style14" w:customStyle="1">
    <w:name w:val="Текст Знак"/>
    <w:link w:val="895"/>
    <w:uiPriority w:val="99"/>
    <w:qFormat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Annotation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903"/>
    <w:uiPriority w:val="99"/>
    <w:qFormat/>
    <w:rPr>
      <w:rFonts w:eastAsia="Arial" w:eastAsiaTheme="minorEastAsia"/>
      <w:sz w:val="20"/>
      <w:szCs w:val="20"/>
      <w:lang w:val="en-US" w:eastAsia="zh-CN"/>
    </w:rPr>
  </w:style>
  <w:style w:type="character" w:styleId="Style16" w:customStyle="1">
    <w:name w:val="Верхний колонтитул Знак"/>
    <w:basedOn w:val="DefaultParagraphFont"/>
    <w:link w:val="906"/>
    <w:uiPriority w:val="99"/>
    <w:qFormat/>
    <w:rPr/>
  </w:style>
  <w:style w:type="character" w:styleId="Style17" w:customStyle="1">
    <w:name w:val="Нижний колонтитул Знак"/>
    <w:basedOn w:val="DefaultParagraphFont"/>
    <w:link w:val="908"/>
    <w:uiPriority w:val="99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uiPriority w:val="35"/>
    <w:unhideWhenUsed/>
    <w:qFormat/>
    <w:pPr>
      <w:widowControl/>
      <w:suppressAutoHyphens w:val="true"/>
      <w:bidi w:val="0"/>
      <w:spacing w:lineRule="auto" w:line="240" w:beforeAutospacing="0" w:before="0" w:afterAutospacing="0" w:after="200"/>
      <w:jc w:val="left"/>
    </w:pPr>
    <w:rPr>
      <w:rFonts w:ascii="Calibri" w:hAnsi="Calibri" w:eastAsia="Calibri" w:cs="Arial"/>
      <w:i/>
      <w:iCs/>
      <w:color w:val="1F497D" w:themeColor="text2"/>
      <w:kern w:val="0"/>
      <w:sz w:val="18"/>
      <w:szCs w:val="18"/>
      <w:lang w:val="ru-RU" w:eastAsia="en-US" w:bidi="ar-SA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Title"/>
    <w:link w:val="874"/>
    <w:uiPriority w:val="10"/>
    <w:qFormat/>
    <w:pPr>
      <w:widowControl/>
      <w:pBdr>
        <w:bottom w:val="single" w:sz="8" w:space="4" w:color="4F81BD"/>
      </w:pBdr>
      <w:suppressAutoHyphens w:val="true"/>
      <w:bidi w:val="0"/>
      <w:spacing w:lineRule="auto" w:line="240" w:beforeAutospacing="0" w:before="0" w:afterAutospacing="0" w:after="300"/>
      <w:contextualSpacing/>
      <w:jc w:val="left"/>
    </w:pPr>
    <w:rPr>
      <w:rFonts w:ascii="Cambria" w:hAnsi="Cambria" w:eastAsia="Arial" w:cs="Arial" w:asciiTheme="majorHAnsi" w:cstheme="majorBidi" w:eastAsiaTheme="majorEastAsia" w:hAnsiTheme="majorHAnsi"/>
      <w:color w:val="17365D" w:themeColor="text2" w:themeShade="bf"/>
      <w:spacing w:val="5"/>
      <w:kern w:val="0"/>
      <w:sz w:val="52"/>
      <w:szCs w:val="52"/>
      <w:lang w:val="ru-RU" w:eastAsia="en-US" w:bidi="ar-SA"/>
    </w:rPr>
  </w:style>
  <w:style w:type="paragraph" w:styleId="Style24">
    <w:name w:val="Subtitle"/>
    <w:link w:val="876"/>
    <w:uiPriority w:val="11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mbria" w:hAnsi="Cambria" w:eastAsia="Arial" w:cs="Arial" w:asciiTheme="majorHAnsi" w:cstheme="majorBidi" w:eastAsiaTheme="majorEastAsia" w:hAnsiTheme="majorHAnsi"/>
      <w:i/>
      <w:iCs/>
      <w:color w:val="4F81BD" w:themeColor="accent1"/>
      <w:spacing w:val="15"/>
      <w:kern w:val="0"/>
      <w:sz w:val="24"/>
      <w:szCs w:val="24"/>
      <w:lang w:val="ru-RU" w:eastAsia="en-US" w:bidi="ar-SA"/>
    </w:rPr>
  </w:style>
  <w:style w:type="paragraph" w:styleId="Quote">
    <w:name w:val="Quote"/>
    <w:link w:val="882"/>
    <w:uiPriority w:val="29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/>
      <w:i/>
      <w:iCs/>
      <w:color w:val="000000" w:themeColor="text1"/>
      <w:kern w:val="0"/>
      <w:sz w:val="22"/>
      <w:szCs w:val="22"/>
      <w:lang w:val="ru-RU" w:eastAsia="en-US" w:bidi="ar-SA"/>
    </w:rPr>
  </w:style>
  <w:style w:type="paragraph" w:styleId="IntenseQuote">
    <w:name w:val="Intense Quote"/>
    <w:link w:val="884"/>
    <w:uiPriority w:val="30"/>
    <w:qFormat/>
    <w:pPr>
      <w:widowControl/>
      <w:pBdr>
        <w:bottom w:val="single" w:sz="4" w:space="4" w:color="4F81BD"/>
      </w:pBdr>
      <w:suppressAutoHyphens w:val="true"/>
      <w:bidi w:val="0"/>
      <w:spacing w:lineRule="auto" w:line="276" w:beforeAutospacing="0" w:before="200" w:afterAutospacing="0" w:after="280"/>
      <w:ind w:left="936" w:right="936" w:hanging="0"/>
      <w:jc w:val="left"/>
    </w:pPr>
    <w:rPr>
      <w:rFonts w:ascii="Calibri" w:hAnsi="Calibri" w:eastAsia="Calibri" w:cs="Arial"/>
      <w:b/>
      <w:bCs/>
      <w:i/>
      <w:iCs/>
      <w:color w:val="4F81BD" w:themeColor="accent1"/>
      <w:kern w:val="0"/>
      <w:sz w:val="22"/>
      <w:szCs w:val="22"/>
      <w:lang w:val="ru-RU" w:eastAsia="en-US" w:bidi="ar-SA"/>
    </w:rPr>
  </w:style>
  <w:style w:type="paragraph" w:styleId="Style25">
    <w:name w:val="Footnote Text"/>
    <w:link w:val="889"/>
    <w:uiPriority w:val="99"/>
    <w:semiHidden/>
    <w:unhideWhenUsed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Style26">
    <w:name w:val="Endnote Text"/>
    <w:link w:val="892"/>
    <w:uiPriority w:val="99"/>
    <w:semiHidden/>
    <w:unhideWhenUsed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PlainText">
    <w:name w:val="Plain Text"/>
    <w:link w:val="896"/>
    <w:uiPriority w:val="99"/>
    <w:semiHidden/>
    <w:unhideWhenUsed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ourier New" w:hAnsi="Courier New" w:eastAsia="Calibri" w:cs="Courier New" w:eastAsiaTheme="minorHAnsi"/>
      <w:color w:val="auto"/>
      <w:kern w:val="0"/>
      <w:sz w:val="21"/>
      <w:szCs w:val="21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color w:val="auto"/>
      <w:kern w:val="0"/>
      <w:sz w:val="20"/>
      <w:szCs w:val="22"/>
      <w:lang w:val="ru-RU" w:eastAsia="ru-RU" w:bidi="ar-SA"/>
    </w:rPr>
  </w:style>
  <w:style w:type="paragraph" w:styleId="Annotationtext">
    <w:name w:val="annotation text"/>
    <w:basedOn w:val="Normal"/>
    <w:link w:val="904"/>
    <w:uiPriority w:val="99"/>
    <w:qFormat/>
    <w:pPr>
      <w:spacing w:lineRule="auto" w:line="240" w:before="0" w:after="0"/>
    </w:pPr>
    <w:rPr>
      <w:rFonts w:eastAsia="Arial" w:eastAsiaTheme="minorEastAsia"/>
      <w:sz w:val="20"/>
      <w:szCs w:val="20"/>
      <w:lang w:val="en-US" w:eastAsia="zh-CN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907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90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Arial" w:cs="Calibri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Style30" w:customStyle="1">
    <w:name w:val="Содержимое таблицы"/>
    <w:basedOn w:val="Normal"/>
    <w:qFormat/>
    <w:pPr>
      <w:suppressLineNumbers/>
      <w:spacing w:lineRule="auto" w:line="259" w:before="0" w:after="16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51DC-487F-4C7C-8E80-9009C686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LibreOffice/6.4.7.2$Linux_X86_64 LibreOffice_project/40$Build-2</Application>
  <Pages>16</Pages>
  <Words>3147</Words>
  <Characters>17344</Characters>
  <CharactersWithSpaces>19390</CharactersWithSpaces>
  <Paragraphs>1478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2025-05-28T04:24:00Z</dcterms:created>
  <dc:creator>Telenkova_NA</dc:creator>
  <dc:description/>
  <dc:language>ru-RU</dc:language>
  <cp:lastModifiedBy/>
  <dcterms:modified xsi:type="dcterms:W3CDTF">2025-06-05T13:52:25Z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Company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