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</w:t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</w:rPr>
        <w:t xml:space="preserve">по формированию информации для установления маршрутов</w:t>
      </w:r>
      <w:r>
        <w:rPr>
          <w:rFonts w:ascii="Times New Roman" w:hAnsi="Times New Roman" w:cs="Times New Roman"/>
          <w:sz w:val="28"/>
          <w:szCs w:val="28"/>
        </w:rPr>
        <w:t xml:space="preserve"> полетов </w:t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беспилотных воздушных судов</w:t>
      </w:r>
      <w:r>
        <w:rPr>
          <w:sz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</w:t>
      </w:r>
      <w:r>
        <w:rPr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Настоящие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екомендации </w:t>
      </w:r>
      <w:r>
        <w:rPr>
          <w:rFonts w:ascii="Times New Roman" w:hAnsi="Times New Roman" w:cs="Times New Roman"/>
          <w:sz w:val="28"/>
          <w:szCs w:val="28"/>
        </w:rPr>
        <w:t xml:space="preserve">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</w:t>
      </w:r>
      <w:r>
        <w:rPr>
          <w:rFonts w:ascii="Times New Roman" w:hAnsi="Times New Roman" w:cs="Times New Roman"/>
          <w:sz w:val="28"/>
          <w:szCs w:val="28"/>
        </w:rPr>
        <w:t xml:space="preserve">ктов </w:t>
      </w:r>
      <w:r>
        <w:rPr>
          <w:rFonts w:ascii="Times New Roman" w:hAnsi="Times New Roman" w:cs="Times New Roman"/>
          <w:sz w:val="28"/>
        </w:rPr>
        <w:t xml:space="preserve">16(1)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</w:rPr>
        <w:t xml:space="preserve"> 16(5)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правил использования воздушного простра</w:t>
      </w:r>
      <w:r>
        <w:rPr>
          <w:rFonts w:ascii="Times New Roman" w:hAnsi="Times New Roman" w:cs="Times New Roman"/>
          <w:sz w:val="28"/>
          <w:szCs w:val="28"/>
        </w:rPr>
        <w:t xml:space="preserve">нства Российской Федерации, утвержденных постановлением Правительства российской Федерации от 11.03.2010 № 138 (в редакции постановления Правительства Российской Федерации от 31.07.2025 № 1133)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</w:rPr>
        <w:t xml:space="preserve">формирования информации для установления маршрутов</w:t>
      </w:r>
      <w:r>
        <w:rPr>
          <w:rFonts w:ascii="Times New Roman" w:hAnsi="Times New Roman" w:cs="Times New Roman"/>
          <w:sz w:val="28"/>
          <w:szCs w:val="28"/>
        </w:rPr>
        <w:t xml:space="preserve"> полетов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беспилотных воздушных судов</w:t>
      </w:r>
      <w:r>
        <w:rPr>
          <w:rFonts w:ascii="Times New Roman" w:hAnsi="Times New Roman" w:cs="Times New Roman"/>
          <w:sz w:val="28"/>
          <w:szCs w:val="28"/>
        </w:rPr>
        <w:t xml:space="preserve"> (далее – Рекомендации).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</w:rPr>
        <w:t xml:space="preserve">территориальными органами </w:t>
      </w:r>
      <w:r>
        <w:rPr>
          <w:rFonts w:ascii="Times New Roman" w:hAnsi="Times New Roman" w:cs="Times New Roman"/>
          <w:sz w:val="28"/>
        </w:rPr>
        <w:t xml:space="preserve">Федерального агентства воздушного транспорта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МТУ Росавиации) </w:t>
      </w:r>
      <w:r>
        <w:rPr>
          <w:rFonts w:ascii="Times New Roman" w:hAnsi="Times New Roman" w:cs="Times New Roman"/>
          <w:sz w:val="28"/>
          <w:szCs w:val="28"/>
        </w:rPr>
        <w:t xml:space="preserve">вопроса о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маршрутов</w:t>
      </w:r>
      <w:r>
        <w:rPr>
          <w:rFonts w:ascii="Times New Roman" w:hAnsi="Times New Roman" w:cs="Times New Roman"/>
          <w:sz w:val="28"/>
          <w:szCs w:val="28"/>
        </w:rPr>
        <w:t xml:space="preserve"> полетов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беспилотных воздушных судов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 – маршрутов полетов БВС) </w:t>
      </w:r>
      <w:r>
        <w:rPr>
          <w:rFonts w:ascii="Times New Roman" w:hAnsi="Times New Roman" w:cs="Times New Roman"/>
          <w:sz w:val="28"/>
          <w:szCs w:val="28"/>
        </w:rPr>
        <w:t xml:space="preserve">начинается с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установления так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маршрутов исходя из обращений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пользователей воздушного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рассмотрение вопроса о возможности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полетов БВС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пользователем воздушного 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подготовка предложения на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полета БВС</w:t>
      </w:r>
      <w:r>
        <w:rPr>
          <w:rFonts w:ascii="Times New Roman" w:hAnsi="Times New Roman" w:cs="Times New Roman"/>
          <w:sz w:val="28"/>
          <w:szCs w:val="28"/>
        </w:rPr>
        <w:t xml:space="preserve">, которое направляется в соответствующий </w:t>
      </w:r>
      <w:r>
        <w:rPr>
          <w:rFonts w:ascii="Times New Roman" w:hAnsi="Times New Roman" w:cs="Times New Roman"/>
          <w:sz w:val="28"/>
          <w:szCs w:val="28"/>
        </w:rPr>
        <w:t xml:space="preserve">МТУ Росавиации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МТУ Росавиации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опубликована на официальном сайте Росавиации 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sz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предложений на установл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маршрутов полетов БВС</w:t>
      </w:r>
      <w:r>
        <w:rPr>
          <w:rFonts w:ascii="Times New Roman" w:hAnsi="Times New Roman" w:cs="Times New Roman"/>
          <w:b/>
          <w:sz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</w:r>
      <w:r>
        <w:rPr>
          <w:sz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3. Предложение оформляются в формализованном виде с обоснованием необходимости установления (изменения)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(рекомендуемый образец предложений приведен в приложении № 1).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4. К предложению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по установлению (изменении)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прилагаются: 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согласование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регионального центра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Единой системы организации воздушного движения Российской Федерации;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карта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 масштабе в зависимости от протяженности маршрута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На карте наносятся линия пути, предлагаемые границы и профиль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5. 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При установлении (изменении) маршрутов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полетов БВС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предложениях указываются: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основные точки (начальный пункт, поворотные пункты, конечный пункт), их координаты;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магнитные путевые углы (МПУ);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расстояние между основными точками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верхняя граница/нижняя границ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а 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абсолютная высота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) маршрута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ширина участков маршрута</w:t>
      </w:r>
      <w:r>
        <w:rPr>
          <w:rFonts w:ascii="Times New Roman" w:hAnsi="Times New Roman" w:cs="Times New Roman"/>
          <w:sz w:val="28"/>
          <w:szCs w:val="28"/>
        </w:rPr>
        <w:t xml:space="preserve"> 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период использования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абсолютная высота наивысшей точки рельефа на участке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истинная высота наивысшего препятствия на участке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абсолютная высота наивысшего препятствия на участке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наименование органа диспетчерского обслуживания воздушного движения, каналы связи (частота), условия использования.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6. В случае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исключения маршрута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(участка маршрута)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полета БВС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предложениях указываются: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обозначение маршрута</w:t>
      </w:r>
      <w:r>
        <w:rPr>
          <w:rFonts w:ascii="Times New Roman" w:hAnsi="Times New Roman" w:cs="Times New Roman"/>
          <w:sz w:val="28"/>
          <w:szCs w:val="28"/>
        </w:rPr>
        <w:t xml:space="preserve"> 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географические координаты точек исключаемого участка маршрута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При разработке предложений по установлению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полета БВС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целесообразно использовать следующее описание: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основных точке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указываются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в географических координатах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геоцентрической системе координат «Параметры Земли 1990 года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 (ПЗ-90.11):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географическая широта (первые две цифры – градусы, вторые две цифры – минуты, третьи две цифры – секунды, буква «с» – северная широта);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географическая долгота (первые три цифры – градусы, вторые две цифры – минуты, третьи две цифры – секунды, буквы «в» или «з» – восточная или западная долгота соответственно);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магнитных путевых углов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в градусах;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расстояние между основными точками маршрута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километрах;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нижняя граница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обозначается как уровень земли 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GND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), земная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или водная поверхность 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SFC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высота относительно земли (AGL) или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абсолютная высота относительно среднего уровня моря 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AMSL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 в метрах с указанием в скобках значения в футах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(например, «2000 м (6600 фут)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AMSL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AGL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или эшелон полета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(буквы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FL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, после которых без пробела три цифры, соответствующие эшелону полета, например, «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FL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050»)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верхняя граница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обозначается как абсолютная высота относительно среднего уровня моря в метрах с указанием в скобках значения в футах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(например, «3050 м (10000 фут) AMSL»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(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AGL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, эшелон полета (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буквы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FL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, после которых без пробела три цифры, соответствующие эшелону полета, например, «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en-US"/>
        </w:rPr>
        <w:t xml:space="preserve">FL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100»)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;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color w:val="auto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при описании вертикальных границ допускается использовать фразы: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br/>
        <w:t xml:space="preserve">«от земли», «от земной или водной поверхности».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8. Предложения по уст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ановлению (изменению)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, поступившие в Федеральное агентство воздушного транспорта от федеральных органов исполнительной власти, направляются для рассмотрения в территориальные органы Росавиации.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Территориальным органом Росавиации проводится окончательный анализ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на предмет возможности установления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(изменения)</w:t>
      </w:r>
      <w:r>
        <w:rPr>
          <w:rFonts w:ascii="Times New Roman" w:hAnsi="Times New Roman" w:cs="Times New Roman"/>
          <w:sz w:val="28"/>
          <w:szCs w:val="28"/>
        </w:rPr>
        <w:t xml:space="preserve"> маршрута полета БВС</w:t>
      </w:r>
      <w:r>
        <w:rPr>
          <w:rFonts w:ascii="Times New Roman" w:hAnsi="Times New Roman" w:cs="Times New Roman"/>
          <w:sz w:val="28"/>
          <w:szCs w:val="28"/>
        </w:rPr>
        <w:t xml:space="preserve"> и готовится представление на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 (изменения)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маршрута полета</w:t>
      </w:r>
      <w:r>
        <w:rPr>
          <w:rFonts w:ascii="Times New Roman" w:hAnsi="Times New Roman" w:cs="Times New Roman"/>
          <w:sz w:val="28"/>
          <w:szCs w:val="28"/>
        </w:rPr>
        <w:t xml:space="preserve"> БВС (далее </w:t>
      </w:r>
      <w:r>
        <w:rPr>
          <w:rFonts w:ascii="Times New Roman" w:hAnsi="Times New Roman" w:cs="Times New Roman"/>
          <w:sz w:val="28"/>
          <w:szCs w:val="28"/>
        </w:rPr>
        <w:t xml:space="preserve">– представление)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Представление, завизированное начальником (руководителем) территориального органа Росавиации, направляется установленным порядком в центральный аппарат Росавиации для дальнейшей реализации.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9. Образец </w:t>
      </w:r>
      <w:r>
        <w:rPr>
          <w:rFonts w:ascii="Times New Roman" w:hAnsi="Times New Roman" w:cs="Times New Roman"/>
          <w:sz w:val="28"/>
          <w:szCs w:val="28"/>
        </w:rPr>
        <w:t xml:space="preserve">оформления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прилагается</w:t>
      </w:r>
      <w:r>
        <w:rPr>
          <w:rFonts w:ascii="Times New Roman" w:hAnsi="Times New Roman" w:cs="Times New Roman"/>
          <w:sz w:val="28"/>
          <w:szCs w:val="28"/>
        </w:rPr>
        <w:t xml:space="preserve"> к настоящим Рекомендациям.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10. Центральным аппаратом Росавиации осуществляется анализ и обобщение поступивших представлений и формирование предложений по установлению </w:t>
      </w:r>
      <w:r>
        <w:rPr>
          <w:rFonts w:ascii="Times New Roman" w:hAnsi="Times New Roman" w:cs="Times New Roman" w:eastAsia="Times New Roman"/>
          <w:color w:val="auto"/>
          <w:sz w:val="28"/>
          <w:szCs w:val="28"/>
        </w:rPr>
        <w:t xml:space="preserve">маршрутов </w:t>
      </w:r>
      <w:r>
        <w:rPr>
          <w:rFonts w:ascii="Times New Roman" w:hAnsi="Times New Roman" w:cs="Times New Roman"/>
          <w:sz w:val="28"/>
          <w:szCs w:val="28"/>
        </w:rPr>
        <w:t xml:space="preserve">полета БВС</w:t>
      </w:r>
      <w:r>
        <w:rPr>
          <w:rFonts w:ascii="Times New Roman" w:hAnsi="Times New Roman" w:cs="Times New Roman"/>
          <w:sz w:val="28"/>
          <w:szCs w:val="28"/>
        </w:rPr>
        <w:t xml:space="preserve"> для последующего их опубликования в документах аэронавигационной информации.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2 л. в 1 экз.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67870026"/>
      <w:docPartObj>
        <w:docPartGallery w:val="Page Numbers (Top of Page)"/>
        <w:docPartUnique w:val="true"/>
      </w:docPartObj>
      <w:rPr/>
    </w:sdtPr>
    <w:sdtContent>
      <w:p>
        <w:pPr>
          <w:pStyle w:val="64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649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1">
    <w:name w:val="footnote text"/>
    <w:basedOn w:val="645"/>
    <w:link w:val="631"/>
    <w:uiPriority w:val="99"/>
    <w:semiHidden/>
    <w:unhideWhenUsed/>
    <w:rPr>
      <w:sz w:val="18"/>
    </w:rPr>
    <w:pPr>
      <w:spacing w:lineRule="auto" w:line="240" w:after="40"/>
    </w:pPr>
  </w:style>
  <w:style w:type="paragraph" w:styleId="472">
    <w:name w:val="endnote text"/>
    <w:basedOn w:val="645"/>
    <w:link w:val="633"/>
    <w:uiPriority w:val="99"/>
    <w:semiHidden/>
    <w:unhideWhenUsed/>
    <w:rPr>
      <w:sz w:val="20"/>
    </w:rPr>
    <w:pPr>
      <w:spacing w:lineRule="auto" w:line="240" w:after="0"/>
    </w:pPr>
  </w:style>
  <w:style w:type="paragraph" w:styleId="473">
    <w:name w:val="Heading 1"/>
    <w:basedOn w:val="645"/>
    <w:next w:val="64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4">
    <w:name w:val="Heading 1 Char"/>
    <w:basedOn w:val="646"/>
    <w:link w:val="473"/>
    <w:uiPriority w:val="9"/>
    <w:rPr>
      <w:rFonts w:ascii="Arial" w:hAnsi="Arial" w:cs="Arial" w:eastAsia="Arial"/>
      <w:sz w:val="40"/>
      <w:szCs w:val="40"/>
    </w:rPr>
  </w:style>
  <w:style w:type="paragraph" w:styleId="475">
    <w:name w:val="Heading 2"/>
    <w:basedOn w:val="645"/>
    <w:next w:val="64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76">
    <w:name w:val="Heading 2 Char"/>
    <w:basedOn w:val="646"/>
    <w:link w:val="475"/>
    <w:uiPriority w:val="9"/>
    <w:rPr>
      <w:rFonts w:ascii="Arial" w:hAnsi="Arial" w:cs="Arial" w:eastAsia="Arial"/>
      <w:sz w:val="34"/>
    </w:rPr>
  </w:style>
  <w:style w:type="paragraph" w:styleId="477">
    <w:name w:val="Heading 3"/>
    <w:basedOn w:val="645"/>
    <w:next w:val="64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78">
    <w:name w:val="Heading 3 Char"/>
    <w:basedOn w:val="646"/>
    <w:link w:val="477"/>
    <w:uiPriority w:val="9"/>
    <w:rPr>
      <w:rFonts w:ascii="Arial" w:hAnsi="Arial" w:cs="Arial" w:eastAsia="Arial"/>
      <w:sz w:val="30"/>
      <w:szCs w:val="30"/>
    </w:rPr>
  </w:style>
  <w:style w:type="paragraph" w:styleId="479">
    <w:name w:val="Heading 4"/>
    <w:basedOn w:val="645"/>
    <w:next w:val="64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0">
    <w:name w:val="Heading 4 Char"/>
    <w:basedOn w:val="646"/>
    <w:link w:val="479"/>
    <w:uiPriority w:val="9"/>
    <w:rPr>
      <w:rFonts w:ascii="Arial" w:hAnsi="Arial" w:cs="Arial" w:eastAsia="Arial"/>
      <w:b/>
      <w:bCs/>
      <w:sz w:val="26"/>
      <w:szCs w:val="26"/>
    </w:rPr>
  </w:style>
  <w:style w:type="paragraph" w:styleId="481">
    <w:name w:val="Heading 5"/>
    <w:basedOn w:val="645"/>
    <w:next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82">
    <w:name w:val="Heading 5 Char"/>
    <w:basedOn w:val="646"/>
    <w:link w:val="481"/>
    <w:uiPriority w:val="9"/>
    <w:rPr>
      <w:rFonts w:ascii="Arial" w:hAnsi="Arial" w:cs="Arial" w:eastAsia="Arial"/>
      <w:b/>
      <w:bCs/>
      <w:sz w:val="24"/>
      <w:szCs w:val="24"/>
    </w:rPr>
  </w:style>
  <w:style w:type="paragraph" w:styleId="483">
    <w:name w:val="Heading 6"/>
    <w:basedOn w:val="645"/>
    <w:next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84">
    <w:name w:val="Heading 6 Char"/>
    <w:basedOn w:val="646"/>
    <w:link w:val="483"/>
    <w:uiPriority w:val="9"/>
    <w:rPr>
      <w:rFonts w:ascii="Arial" w:hAnsi="Arial" w:cs="Arial" w:eastAsia="Arial"/>
      <w:b/>
      <w:bCs/>
      <w:sz w:val="22"/>
      <w:szCs w:val="22"/>
    </w:rPr>
  </w:style>
  <w:style w:type="paragraph" w:styleId="485">
    <w:name w:val="Heading 7"/>
    <w:basedOn w:val="645"/>
    <w:next w:val="64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86">
    <w:name w:val="Heading 7 Char"/>
    <w:basedOn w:val="646"/>
    <w:link w:val="4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87">
    <w:name w:val="Heading 8"/>
    <w:basedOn w:val="645"/>
    <w:next w:val="6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88">
    <w:name w:val="Heading 8 Char"/>
    <w:basedOn w:val="646"/>
    <w:link w:val="487"/>
    <w:uiPriority w:val="9"/>
    <w:rPr>
      <w:rFonts w:ascii="Arial" w:hAnsi="Arial" w:cs="Arial" w:eastAsia="Arial"/>
      <w:i/>
      <w:iCs/>
      <w:sz w:val="22"/>
      <w:szCs w:val="22"/>
    </w:rPr>
  </w:style>
  <w:style w:type="paragraph" w:styleId="489">
    <w:name w:val="Heading 9"/>
    <w:basedOn w:val="645"/>
    <w:next w:val="64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0">
    <w:name w:val="Heading 9 Char"/>
    <w:basedOn w:val="646"/>
    <w:link w:val="489"/>
    <w:uiPriority w:val="9"/>
    <w:rPr>
      <w:rFonts w:ascii="Arial" w:hAnsi="Arial" w:cs="Arial" w:eastAsia="Arial"/>
      <w:i/>
      <w:iCs/>
      <w:sz w:val="21"/>
      <w:szCs w:val="21"/>
    </w:rPr>
  </w:style>
  <w:style w:type="paragraph" w:styleId="491">
    <w:name w:val="List Paragraph"/>
    <w:basedOn w:val="645"/>
    <w:qFormat/>
    <w:uiPriority w:val="34"/>
    <w:pPr>
      <w:contextualSpacing w:val="true"/>
      <w:ind w:left="720"/>
    </w:pPr>
  </w:style>
  <w:style w:type="paragraph" w:styleId="492">
    <w:name w:val="No Spacing"/>
    <w:basedOn w:val="645"/>
    <w:qFormat/>
    <w:uiPriority w:val="1"/>
    <w:pPr>
      <w:spacing w:lineRule="auto" w:line="240" w:after="0" w:before="0"/>
    </w:pPr>
  </w:style>
  <w:style w:type="paragraph" w:styleId="493">
    <w:name w:val="Title"/>
    <w:basedOn w:val="645"/>
    <w:next w:val="64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4">
    <w:name w:val="Title Char"/>
    <w:basedOn w:val="646"/>
    <w:link w:val="493"/>
    <w:uiPriority w:val="10"/>
    <w:rPr>
      <w:sz w:val="48"/>
      <w:szCs w:val="48"/>
    </w:rPr>
  </w:style>
  <w:style w:type="paragraph" w:styleId="495">
    <w:name w:val="Subtitle"/>
    <w:basedOn w:val="645"/>
    <w:next w:val="645"/>
    <w:qFormat/>
    <w:uiPriority w:val="11"/>
    <w:rPr>
      <w:sz w:val="24"/>
      <w:szCs w:val="24"/>
    </w:rPr>
    <w:pPr>
      <w:spacing w:after="200" w:before="200"/>
    </w:pPr>
  </w:style>
  <w:style w:type="character" w:styleId="496">
    <w:name w:val="Subtitle Char"/>
    <w:basedOn w:val="646"/>
    <w:link w:val="495"/>
    <w:uiPriority w:val="11"/>
    <w:rPr>
      <w:sz w:val="24"/>
      <w:szCs w:val="24"/>
    </w:rPr>
  </w:style>
  <w:style w:type="paragraph" w:styleId="497">
    <w:name w:val="Quote"/>
    <w:basedOn w:val="645"/>
    <w:next w:val="645"/>
    <w:qFormat/>
    <w:uiPriority w:val="29"/>
    <w:rPr>
      <w:i/>
    </w:rPr>
    <w:pPr>
      <w:ind w:left="720" w:right="720"/>
    </w:pPr>
  </w:style>
  <w:style w:type="character" w:styleId="498">
    <w:name w:val="Quote Char"/>
    <w:link w:val="497"/>
    <w:uiPriority w:val="29"/>
    <w:rPr>
      <w:i/>
    </w:rPr>
  </w:style>
  <w:style w:type="paragraph" w:styleId="499">
    <w:name w:val="Intense Quote"/>
    <w:basedOn w:val="645"/>
    <w:next w:val="64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9"/>
        <w:top w:val="single" w:color="FFFFFF" w:sz="4" w:space="3"/>
        <w:right w:val="single" w:color="FFFFFF" w:sz="4" w:space="9"/>
        <w:bottom w:val="single" w:color="FFFFFF" w:sz="4" w:space="3"/>
      </w:pBdr>
    </w:pPr>
  </w:style>
  <w:style w:type="character" w:styleId="500">
    <w:name w:val="Intense Quote Char"/>
    <w:link w:val="499"/>
    <w:uiPriority w:val="30"/>
    <w:rPr>
      <w:i/>
    </w:rPr>
  </w:style>
  <w:style w:type="character" w:styleId="501">
    <w:name w:val="Header Char"/>
    <w:basedOn w:val="646"/>
    <w:link w:val="649"/>
    <w:uiPriority w:val="99"/>
  </w:style>
  <w:style w:type="character" w:styleId="502">
    <w:name w:val="Footer Char"/>
    <w:basedOn w:val="646"/>
    <w:link w:val="651"/>
    <w:uiPriority w:val="99"/>
  </w:style>
  <w:style w:type="paragraph" w:styleId="503">
    <w:name w:val="Caption"/>
    <w:basedOn w:val="645"/>
    <w:next w:val="64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4">
    <w:name w:val="Caption Char"/>
    <w:basedOn w:val="503"/>
    <w:link w:val="651"/>
    <w:uiPriority w:val="99"/>
  </w:style>
  <w:style w:type="table" w:styleId="505">
    <w:name w:val="Table Grid Light"/>
    <w:basedOn w:val="64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6">
    <w:name w:val="Plain Table 1"/>
    <w:basedOn w:val="64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7">
    <w:name w:val="Plain Table 2"/>
    <w:basedOn w:val="64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8">
    <w:name w:val="Plain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09">
    <w:name w:val="Plain Table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Plain Table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1">
    <w:name w:val="Grid Table 1 Light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Grid Table 1 Light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Grid Table 1 Light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4">
    <w:name w:val="Grid Table 1 Light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5">
    <w:name w:val="Grid Table 1 Light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>
    <w:name w:val="Grid Table 1 Light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7">
    <w:name w:val="Grid Table 1 Light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>
    <w:name w:val="Grid Table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2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2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1">
    <w:name w:val="Grid Table 2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2">
    <w:name w:val="Grid Table 2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3">
    <w:name w:val="Grid Table 2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24">
    <w:name w:val="Grid Table 2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25">
    <w:name w:val="Grid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6">
    <w:name w:val="Grid Table 3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7">
    <w:name w:val="Grid Table 3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3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3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3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3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4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3">
    <w:name w:val="Grid Table 4 - Accent 1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34">
    <w:name w:val="Grid Table 4 - Accent 2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35">
    <w:name w:val="Grid Table 4 - Accent 3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36">
    <w:name w:val="Grid Table 4 - Accent 4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37">
    <w:name w:val="Grid Table 4 - Accent 5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38">
    <w:name w:val="Grid Table 4 - Accent 6"/>
    <w:basedOn w:val="64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39">
    <w:name w:val="Grid Table 5 Dark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40">
    <w:name w:val="Grid Table 5 Dark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41">
    <w:name w:val="Grid Table 5 Dark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42">
    <w:name w:val="Grid Table 5 Dark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43">
    <w:name w:val="Grid Table 5 Dark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44">
    <w:name w:val="Grid Table 5 Dark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45">
    <w:name w:val="Grid Table 5 Dark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46">
    <w:name w:val="Grid Table 6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47">
    <w:name w:val="Grid Table 6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48">
    <w:name w:val="Grid Table 6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49">
    <w:name w:val="Grid Table 6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50">
    <w:name w:val="Grid Table 6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51">
    <w:name w:val="Grid Table 6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2">
    <w:name w:val="Grid Table 6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53">
    <w:name w:val="Grid Table 7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Grid Table 7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Grid Table 7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Grid Table 7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Grid Table 7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Grid Table 7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Grid Table 7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1 Light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1">
    <w:name w:val="List Table 1 Light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2">
    <w:name w:val="List Table 1 Light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List Table 1 Light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64">
    <w:name w:val="List Table 1 Light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List Table 1 Light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List Table 1 Light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List Table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68">
    <w:name w:val="List Table 2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69">
    <w:name w:val="List Table 2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70">
    <w:name w:val="List Table 2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71">
    <w:name w:val="List Table 2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72">
    <w:name w:val="List Table 2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73">
    <w:name w:val="List Table 2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74">
    <w:name w:val="List Table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3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3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7">
    <w:name w:val="List Table 3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8">
    <w:name w:val="List Table 3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9">
    <w:name w:val="List Table 3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0">
    <w:name w:val="List Table 3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>
    <w:name w:val="List Table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>
    <w:name w:val="List Table 4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>
    <w:name w:val="List Table 4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>
    <w:name w:val="List Table 4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>
    <w:name w:val="List Table 4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4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4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5 Dark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9">
    <w:name w:val="List Table 5 Dark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0">
    <w:name w:val="List Table 5 Dark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1">
    <w:name w:val="List Table 5 Dark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2">
    <w:name w:val="List Table 5 Dark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3">
    <w:name w:val="List Table 5 Dark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4">
    <w:name w:val="List Table 5 Dark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95">
    <w:name w:val="List Table 6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96">
    <w:name w:val="List Table 6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97">
    <w:name w:val="List Table 6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98">
    <w:name w:val="List Table 6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99">
    <w:name w:val="List Table 6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00">
    <w:name w:val="List Table 6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01">
    <w:name w:val="List Table 6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02">
    <w:name w:val="List Table 7 Colorful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03">
    <w:name w:val="List Table 7 Colorful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604">
    <w:name w:val="List Table 7 Colorful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605">
    <w:name w:val="List Table 7 Colorful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606">
    <w:name w:val="List Table 7 Colorful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607">
    <w:name w:val="List Table 7 Colorful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608">
    <w:name w:val="List Table 7 Colorful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609">
    <w:name w:val="Lined - Accent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10">
    <w:name w:val="Lined - Accent 1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1">
    <w:name w:val="Lined - Accent 2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2">
    <w:name w:val="Lined - Accent 3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13">
    <w:name w:val="Lined - Accent 4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14">
    <w:name w:val="Lined - Accent 5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15">
    <w:name w:val="Lined - Accent 6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16">
    <w:name w:val="Bordered &amp; Lined - Accent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617">
    <w:name w:val="Bordered &amp; Lined - Accent 1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618">
    <w:name w:val="Bordered &amp; Lined - Accent 2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19">
    <w:name w:val="Bordered &amp; Lined - Accent 3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20">
    <w:name w:val="Bordered &amp; Lined - Accent 4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21">
    <w:name w:val="Bordered &amp; Lined - Accent 5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22">
    <w:name w:val="Bordered &amp; Lined - Accent 6"/>
    <w:basedOn w:val="64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23">
    <w:name w:val="Bordered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24">
    <w:name w:val="Bordered - Accent 1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25">
    <w:name w:val="Bordered - Accent 2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26">
    <w:name w:val="Bordered - Accent 3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27">
    <w:name w:val="Bordered - Accent 4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28">
    <w:name w:val="Bordered - Accent 5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29">
    <w:name w:val="Bordered - Accent 6"/>
    <w:basedOn w:val="64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30">
    <w:name w:val="Hyperlink"/>
    <w:uiPriority w:val="99"/>
    <w:unhideWhenUsed/>
    <w:rPr>
      <w:color w:val="0000FF" w:themeColor="hyperlink"/>
      <w:u w:val="single"/>
    </w:rPr>
  </w:style>
  <w:style w:type="character" w:styleId="631">
    <w:name w:val="Footnote Text Char"/>
    <w:uiPriority w:val="99"/>
    <w:rPr>
      <w:sz w:val="18"/>
    </w:rPr>
  </w:style>
  <w:style w:type="character" w:styleId="632">
    <w:name w:val="footnote reference"/>
    <w:basedOn w:val="646"/>
    <w:uiPriority w:val="99"/>
    <w:unhideWhenUsed/>
    <w:rPr>
      <w:vertAlign w:val="superscript"/>
    </w:rPr>
  </w:style>
  <w:style w:type="character" w:styleId="633">
    <w:name w:val="Endnote Text Char"/>
    <w:uiPriority w:val="99"/>
    <w:rPr>
      <w:sz w:val="20"/>
    </w:rPr>
  </w:style>
  <w:style w:type="character" w:styleId="634">
    <w:name w:val="endnote reference"/>
    <w:basedOn w:val="646"/>
    <w:uiPriority w:val="99"/>
    <w:semiHidden/>
    <w:unhideWhenUsed/>
    <w:rPr>
      <w:vertAlign w:val="superscript"/>
    </w:rPr>
  </w:style>
  <w:style w:type="paragraph" w:styleId="635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636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637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638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639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640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641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642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643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644">
    <w:name w:val="TOC Heading"/>
    <w:uiPriority w:val="39"/>
    <w:unhideWhenUsed/>
  </w:style>
  <w:style w:type="paragraph" w:styleId="645" w:default="1">
    <w:name w:val="Normal"/>
    <w:qFormat/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paragraph" w:styleId="649">
    <w:name w:val="Header"/>
    <w:basedOn w:val="6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50" w:customStyle="1">
    <w:name w:val="Верхний колонтитул Знак"/>
    <w:basedOn w:val="646"/>
    <w:link w:val="649"/>
    <w:uiPriority w:val="99"/>
  </w:style>
  <w:style w:type="paragraph" w:styleId="651">
    <w:name w:val="Footer"/>
    <w:basedOn w:val="6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52" w:customStyle="1">
    <w:name w:val="Нижний колонтитул Знак"/>
    <w:basedOn w:val="646"/>
    <w:link w:val="651"/>
    <w:uiPriority w:val="99"/>
  </w:style>
  <w:style w:type="table" w:styleId="653">
    <w:name w:val="Table Grid"/>
    <w:basedOn w:val="647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54">
    <w:name w:val="       ConsPlusNormal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2"/>
      <w:u w:val="none"/>
      <w:vertAlign w:val="baseline"/>
      <w:rtl w:val="false"/>
      <w:cs w:val="false"/>
      <w:lang w:val="en-US" w:bidi="en-US" w:eastAsia="en-US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655" w:customStyle="1">
    <w:name w:val="Привязка сноски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Легченков</dc:creator>
  <cp:keywords/>
  <dc:description/>
  <cp:revision>27</cp:revision>
  <dcterms:created xsi:type="dcterms:W3CDTF">2023-10-04T05:26:00Z</dcterms:created>
  <dcterms:modified xsi:type="dcterms:W3CDTF">2025-10-27T17:04:19Z</dcterms:modified>
</cp:coreProperties>
</file>