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B7F" w:rsidRDefault="000F2D4A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</w:t>
      </w:r>
    </w:p>
    <w:tbl>
      <w:tblPr>
        <w:tblW w:w="16202" w:type="dxa"/>
        <w:tblInd w:w="-6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69"/>
        <w:gridCol w:w="709"/>
        <w:gridCol w:w="850"/>
        <w:gridCol w:w="851"/>
        <w:gridCol w:w="1559"/>
        <w:gridCol w:w="1984"/>
        <w:gridCol w:w="1983"/>
        <w:gridCol w:w="1134"/>
        <w:gridCol w:w="566"/>
        <w:gridCol w:w="1277"/>
        <w:gridCol w:w="2126"/>
        <w:gridCol w:w="994"/>
      </w:tblGrid>
      <w:tr w:rsidR="00CE5B7F" w:rsidTr="003D027B">
        <w:trPr>
          <w:trHeight w:val="298"/>
        </w:trPr>
        <w:tc>
          <w:tcPr>
            <w:tcW w:w="2169" w:type="dxa"/>
            <w:vMerge w:val="restart"/>
            <w:shd w:val="clear" w:color="auto" w:fill="auto"/>
            <w:vAlign w:val="center"/>
          </w:tcPr>
          <w:p w:rsidR="00CE5B7F" w:rsidRDefault="000F2D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</w:rPr>
              <w:t>Авиакомпания</w:t>
            </w:r>
          </w:p>
        </w:tc>
        <w:tc>
          <w:tcPr>
            <w:tcW w:w="14033" w:type="dxa"/>
            <w:gridSpan w:val="11"/>
          </w:tcPr>
          <w:p w:rsidR="00CE5B7F" w:rsidRDefault="000F2D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 xml:space="preserve">КРИТЕРИИ ДЛЯ ГОЛОСОВАНИЯ ПО ДОПУСКУ ПЕРЕВОЗЧИКОВ К ВЫПОЛНЕНИЮ МЕЖДУНАРОДНЫХ РЕГУЛЯРНЫХ ПЕРЕВОЗОК ПАССАЖИРОВ И (ИЛИ) ГРУЗОВ ПО МАРШРУТУ МИНЕРАЛЬНЫЕ </w:t>
            </w:r>
            <w:proofErr w:type="gramStart"/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ВОДЫ-ТАШКЕНТ</w:t>
            </w:r>
            <w:proofErr w:type="gramEnd"/>
          </w:p>
        </w:tc>
      </w:tr>
      <w:tr w:rsidR="00CE5B7F" w:rsidTr="003D027B">
        <w:trPr>
          <w:trHeight w:val="20"/>
        </w:trPr>
        <w:tc>
          <w:tcPr>
            <w:tcW w:w="2169" w:type="dxa"/>
            <w:vMerge/>
            <w:shd w:val="clear" w:color="auto" w:fill="auto"/>
            <w:vAlign w:val="center"/>
          </w:tcPr>
          <w:p w:rsidR="00CE5B7F" w:rsidRDefault="00CE5B7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CE5B7F" w:rsidRDefault="000F2D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  1</w:t>
            </w:r>
          </w:p>
        </w:tc>
        <w:tc>
          <w:tcPr>
            <w:tcW w:w="850" w:type="dxa"/>
            <w:vMerge w:val="restart"/>
            <w:vAlign w:val="center"/>
          </w:tcPr>
          <w:p w:rsidR="00CE5B7F" w:rsidRDefault="000F2D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2</w:t>
            </w:r>
          </w:p>
        </w:tc>
        <w:tc>
          <w:tcPr>
            <w:tcW w:w="851" w:type="dxa"/>
            <w:vMerge w:val="restart"/>
            <w:vAlign w:val="center"/>
          </w:tcPr>
          <w:p w:rsidR="00CE5B7F" w:rsidRDefault="000F2D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3</w:t>
            </w:r>
          </w:p>
        </w:tc>
        <w:tc>
          <w:tcPr>
            <w:tcW w:w="5526" w:type="dxa"/>
            <w:gridSpan w:val="3"/>
            <w:shd w:val="clear" w:color="auto" w:fill="auto"/>
            <w:vAlign w:val="center"/>
          </w:tcPr>
          <w:p w:rsidR="00CE5B7F" w:rsidRDefault="000F2D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4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E5B7F" w:rsidRDefault="000F2D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5</w:t>
            </w:r>
          </w:p>
        </w:tc>
        <w:tc>
          <w:tcPr>
            <w:tcW w:w="566" w:type="dxa"/>
            <w:vMerge w:val="restart"/>
            <w:shd w:val="clear" w:color="auto" w:fill="auto"/>
            <w:vAlign w:val="center"/>
          </w:tcPr>
          <w:p w:rsidR="00CE5B7F" w:rsidRDefault="000F2D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6</w:t>
            </w:r>
          </w:p>
        </w:tc>
        <w:tc>
          <w:tcPr>
            <w:tcW w:w="4397" w:type="dxa"/>
            <w:gridSpan w:val="3"/>
            <w:vMerge w:val="restart"/>
            <w:shd w:val="clear" w:color="auto" w:fill="auto"/>
            <w:vAlign w:val="center"/>
          </w:tcPr>
          <w:p w:rsidR="00CE5B7F" w:rsidRDefault="000F2D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7</w:t>
            </w:r>
          </w:p>
        </w:tc>
      </w:tr>
      <w:tr w:rsidR="00CE5B7F" w:rsidTr="003D027B">
        <w:trPr>
          <w:trHeight w:val="126"/>
        </w:trPr>
        <w:tc>
          <w:tcPr>
            <w:tcW w:w="2169" w:type="dxa"/>
            <w:vMerge/>
            <w:shd w:val="clear" w:color="auto" w:fill="auto"/>
            <w:vAlign w:val="center"/>
          </w:tcPr>
          <w:p w:rsidR="00CE5B7F" w:rsidRDefault="00CE5B7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E5B7F" w:rsidRDefault="00CE5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E5B7F" w:rsidRDefault="00CE5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E5B7F" w:rsidRDefault="00CE5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shd w:val="clear" w:color="auto" w:fill="auto"/>
            <w:vAlign w:val="center"/>
          </w:tcPr>
          <w:p w:rsidR="00CE5B7F" w:rsidRDefault="000F2D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предписания инспекторов </w:t>
            </w:r>
          </w:p>
        </w:tc>
        <w:tc>
          <w:tcPr>
            <w:tcW w:w="1983" w:type="dxa"/>
            <w:vMerge w:val="restart"/>
            <w:shd w:val="clear" w:color="auto" w:fill="auto"/>
            <w:vAlign w:val="center"/>
          </w:tcPr>
          <w:p w:rsidR="00CE5B7F" w:rsidRDefault="000F2D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4.3 </w:t>
            </w:r>
          </w:p>
          <w:p w:rsidR="00CE5B7F" w:rsidRDefault="000F2D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Коэффициент (</w:t>
            </w:r>
            <w:r>
              <w:rPr>
                <w:rFonts w:ascii="Times New Roman" w:eastAsia="Times New Roman" w:hAnsi="Times New Roman"/>
                <w:sz w:val="28"/>
                <w:szCs w:val="20"/>
                <w:lang w:val="en-US"/>
              </w:rPr>
              <w:t>Ratio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) по результатам проверок по программе </w:t>
            </w:r>
            <w:r>
              <w:rPr>
                <w:rFonts w:ascii="Times New Roman" w:eastAsia="Times New Roman" w:hAnsi="Times New Roman"/>
                <w:sz w:val="28"/>
                <w:szCs w:val="20"/>
                <w:lang w:val="en-US"/>
              </w:rPr>
              <w:t>SAFA</w:t>
            </w:r>
          </w:p>
          <w:p w:rsidR="00CE5B7F" w:rsidRDefault="000F2D4A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по состоянию на 11.11.2022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E5B7F" w:rsidRDefault="00CE5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vMerge/>
            <w:shd w:val="clear" w:color="auto" w:fill="auto"/>
            <w:vAlign w:val="center"/>
          </w:tcPr>
          <w:p w:rsidR="00CE5B7F" w:rsidRDefault="00CE5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397" w:type="dxa"/>
            <w:gridSpan w:val="3"/>
            <w:vMerge/>
            <w:shd w:val="clear" w:color="auto" w:fill="auto"/>
            <w:vAlign w:val="center"/>
          </w:tcPr>
          <w:p w:rsidR="00CE5B7F" w:rsidRDefault="00CE5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E5B7F" w:rsidTr="003D027B">
        <w:trPr>
          <w:trHeight w:val="1944"/>
        </w:trPr>
        <w:tc>
          <w:tcPr>
            <w:tcW w:w="2169" w:type="dxa"/>
            <w:vMerge/>
            <w:shd w:val="clear" w:color="auto" w:fill="auto"/>
            <w:vAlign w:val="center"/>
          </w:tcPr>
          <w:p w:rsidR="00CE5B7F" w:rsidRDefault="00CE5B7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E5B7F" w:rsidRDefault="00CE5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E5B7F" w:rsidRDefault="00CE5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E5B7F" w:rsidRDefault="00CE5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E5B7F" w:rsidRDefault="000F2D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4.1</w:t>
            </w:r>
          </w:p>
          <w:p w:rsidR="00CE5B7F" w:rsidRDefault="000F2D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0"/>
              </w:rPr>
              <w:t>Ространснадзор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 по состоянию на 11.11.2022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E5B7F" w:rsidRDefault="000F2D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4.2</w:t>
            </w:r>
          </w:p>
          <w:p w:rsidR="00CE5B7F" w:rsidRDefault="000F2D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Иностранные авиационные власти по состоянию на 11.11.2022</w:t>
            </w:r>
          </w:p>
          <w:p w:rsidR="00CE5B7F" w:rsidRDefault="00CE5B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  <w:vAlign w:val="center"/>
          </w:tcPr>
          <w:p w:rsidR="00CE5B7F" w:rsidRDefault="00CE5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E5B7F" w:rsidRDefault="00CE5B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vMerge/>
            <w:shd w:val="clear" w:color="auto" w:fill="auto"/>
            <w:vAlign w:val="center"/>
          </w:tcPr>
          <w:p w:rsidR="00CE5B7F" w:rsidRDefault="00CE5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CE5B7F" w:rsidRDefault="000F2D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7.1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E5B7F" w:rsidRDefault="000F2D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7.2</w:t>
            </w:r>
          </w:p>
        </w:tc>
        <w:tc>
          <w:tcPr>
            <w:tcW w:w="994" w:type="dxa"/>
            <w:vAlign w:val="center"/>
          </w:tcPr>
          <w:p w:rsidR="00CE5B7F" w:rsidRDefault="000F2D4A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7.3.</w:t>
            </w:r>
          </w:p>
        </w:tc>
      </w:tr>
      <w:tr w:rsidR="00CE5B7F" w:rsidTr="003D027B">
        <w:trPr>
          <w:trHeight w:val="701"/>
        </w:trPr>
        <w:tc>
          <w:tcPr>
            <w:tcW w:w="2169" w:type="dxa"/>
            <w:shd w:val="clear" w:color="auto" w:fill="FFFFFF"/>
            <w:vAlign w:val="center"/>
          </w:tcPr>
          <w:p w:rsidR="00CE5B7F" w:rsidRDefault="000F2D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</w:rPr>
              <w:t>ИрАэро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5B7F" w:rsidRDefault="000F2D4A">
            <w:pPr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sz w:val="28"/>
              </w:rPr>
              <w:t>Нет</w:t>
            </w:r>
          </w:p>
        </w:tc>
        <w:tc>
          <w:tcPr>
            <w:tcW w:w="850" w:type="dxa"/>
            <w:vAlign w:val="center"/>
          </w:tcPr>
          <w:p w:rsidR="00CE5B7F" w:rsidRDefault="000F2D4A">
            <w:pPr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sz w:val="28"/>
              </w:rPr>
              <w:t>86%</w:t>
            </w:r>
          </w:p>
        </w:tc>
        <w:tc>
          <w:tcPr>
            <w:tcW w:w="851" w:type="dxa"/>
            <w:vAlign w:val="center"/>
          </w:tcPr>
          <w:p w:rsidR="00CE5B7F" w:rsidRDefault="000F2D4A">
            <w:pPr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sz w:val="28"/>
              </w:rPr>
              <w:t>42%</w:t>
            </w:r>
          </w:p>
        </w:tc>
        <w:tc>
          <w:tcPr>
            <w:tcW w:w="1559" w:type="dxa"/>
            <w:shd w:val="clear" w:color="auto" w:fill="auto"/>
          </w:tcPr>
          <w:p w:rsidR="00CE5B7F" w:rsidRDefault="000F2D4A">
            <w:pPr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sz w:val="28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CE5B7F" w:rsidRDefault="000F2D4A">
            <w:pPr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sz w:val="28"/>
              </w:rPr>
              <w:t>0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CE5B7F" w:rsidRPr="003D027B" w:rsidRDefault="003D027B">
            <w:pPr>
              <w:jc w:val="center"/>
              <w:rPr>
                <w:rFonts w:eastAsia="times" w:cs="times"/>
              </w:rPr>
            </w:pPr>
            <w:r>
              <w:rPr>
                <w:rFonts w:ascii="times" w:eastAsia="times" w:hAnsi="times" w:cs="times"/>
                <w:sz w:val="28"/>
              </w:rPr>
              <w:t>0,25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5B7F" w:rsidRPr="00DC06F2" w:rsidRDefault="000F2D4A">
            <w:pPr>
              <w:jc w:val="center"/>
              <w:rPr>
                <w:rFonts w:eastAsia="times" w:cs="times"/>
              </w:rPr>
            </w:pPr>
            <w:r>
              <w:rPr>
                <w:rFonts w:ascii="times" w:eastAsia="times" w:hAnsi="times" w:cs="times"/>
                <w:sz w:val="28"/>
              </w:rPr>
              <w:t>95,98</w:t>
            </w:r>
            <w:r w:rsidR="00DC06F2">
              <w:rPr>
                <w:rFonts w:eastAsia="times" w:cs="times"/>
                <w:sz w:val="28"/>
              </w:rPr>
              <w:t>%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E5B7F" w:rsidRDefault="000F2D4A">
            <w:pPr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sz w:val="28"/>
              </w:rPr>
              <w:t>-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CE5B7F" w:rsidRDefault="000F2D4A">
            <w:pPr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sz w:val="28"/>
              </w:rPr>
              <w:t xml:space="preserve">5 </w:t>
            </w:r>
            <w:proofErr w:type="gramStart"/>
            <w:r>
              <w:rPr>
                <w:rFonts w:ascii="times" w:eastAsia="times" w:hAnsi="times" w:cs="times"/>
                <w:sz w:val="28"/>
              </w:rPr>
              <w:t>р</w:t>
            </w:r>
            <w:proofErr w:type="gramEnd"/>
            <w:r>
              <w:rPr>
                <w:rFonts w:ascii="times" w:eastAsia="times" w:hAnsi="times" w:cs="times"/>
                <w:sz w:val="28"/>
              </w:rPr>
              <w:t>/н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E5B7F" w:rsidRDefault="000F2D4A">
            <w:pPr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sz w:val="28"/>
              </w:rPr>
              <w:t>Минеральные воды</w:t>
            </w:r>
          </w:p>
        </w:tc>
        <w:tc>
          <w:tcPr>
            <w:tcW w:w="994" w:type="dxa"/>
            <w:vAlign w:val="center"/>
          </w:tcPr>
          <w:p w:rsidR="00CE5B7F" w:rsidRDefault="000F2D4A">
            <w:pPr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sz w:val="28"/>
              </w:rPr>
              <w:t>2</w:t>
            </w:r>
          </w:p>
        </w:tc>
      </w:tr>
      <w:tr w:rsidR="00CE5B7F" w:rsidTr="003D027B">
        <w:trPr>
          <w:trHeight w:val="701"/>
        </w:trPr>
        <w:tc>
          <w:tcPr>
            <w:tcW w:w="2169" w:type="dxa"/>
            <w:shd w:val="clear" w:color="FFFFFF" w:fill="FFFFFF"/>
            <w:vAlign w:val="center"/>
          </w:tcPr>
          <w:p w:rsidR="00CE5B7F" w:rsidRDefault="000F2D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8"/>
                <w:szCs w:val="24"/>
              </w:rPr>
              <w:t>Ред</w:t>
            </w:r>
            <w:proofErr w:type="gramEnd"/>
            <w:r>
              <w:rPr>
                <w:rFonts w:ascii="Times New Roman" w:eastAsia="Times New Roman" w:hAnsi="Times New Roman"/>
                <w:b/>
                <w:sz w:val="28"/>
                <w:szCs w:val="24"/>
              </w:rPr>
              <w:t xml:space="preserve"> Вингс</w:t>
            </w:r>
          </w:p>
        </w:tc>
        <w:tc>
          <w:tcPr>
            <w:tcW w:w="709" w:type="dxa"/>
            <w:shd w:val="clear" w:color="FFFFFF" w:fill="FFFFFF"/>
            <w:vAlign w:val="center"/>
          </w:tcPr>
          <w:p w:rsidR="00CE5B7F" w:rsidRDefault="000F2D4A">
            <w:pPr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sz w:val="28"/>
              </w:rPr>
              <w:t>Нет</w:t>
            </w:r>
          </w:p>
        </w:tc>
        <w:tc>
          <w:tcPr>
            <w:tcW w:w="850" w:type="dxa"/>
            <w:vAlign w:val="center"/>
          </w:tcPr>
          <w:p w:rsidR="00CE5B7F" w:rsidRDefault="000F2D4A">
            <w:pPr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sz w:val="28"/>
              </w:rPr>
              <w:t>89%</w:t>
            </w:r>
          </w:p>
        </w:tc>
        <w:tc>
          <w:tcPr>
            <w:tcW w:w="851" w:type="dxa"/>
            <w:vAlign w:val="center"/>
          </w:tcPr>
          <w:p w:rsidR="00CE5B7F" w:rsidRDefault="000F2D4A">
            <w:pPr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sz w:val="28"/>
              </w:rPr>
              <w:t>0%</w:t>
            </w:r>
          </w:p>
        </w:tc>
        <w:tc>
          <w:tcPr>
            <w:tcW w:w="1559" w:type="dxa"/>
            <w:shd w:val="clear" w:color="FFFFFF" w:fill="FFFFFF"/>
          </w:tcPr>
          <w:p w:rsidR="00CE5B7F" w:rsidRDefault="000F2D4A">
            <w:pPr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sz w:val="28"/>
              </w:rPr>
              <w:t>0</w:t>
            </w:r>
          </w:p>
        </w:tc>
        <w:tc>
          <w:tcPr>
            <w:tcW w:w="1984" w:type="dxa"/>
            <w:shd w:val="clear" w:color="FFFFFF" w:fill="FFFFFF"/>
          </w:tcPr>
          <w:p w:rsidR="00CE5B7F" w:rsidRDefault="000F2D4A">
            <w:pPr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sz w:val="28"/>
              </w:rPr>
              <w:t>0</w:t>
            </w:r>
          </w:p>
        </w:tc>
        <w:tc>
          <w:tcPr>
            <w:tcW w:w="1983" w:type="dxa"/>
            <w:shd w:val="clear" w:color="FFFFFF" w:fill="FFFFFF"/>
            <w:vAlign w:val="center"/>
          </w:tcPr>
          <w:p w:rsidR="00CE5B7F" w:rsidRPr="003D027B" w:rsidRDefault="003D027B">
            <w:pPr>
              <w:jc w:val="center"/>
              <w:rPr>
                <w:rFonts w:eastAsia="times" w:cs="times"/>
              </w:rPr>
            </w:pPr>
            <w:r>
              <w:rPr>
                <w:rFonts w:ascii="times" w:eastAsia="times" w:hAnsi="times" w:cs="times"/>
                <w:sz w:val="28"/>
              </w:rPr>
              <w:t>0,92</w:t>
            </w:r>
          </w:p>
        </w:tc>
        <w:tc>
          <w:tcPr>
            <w:tcW w:w="1134" w:type="dxa"/>
            <w:shd w:val="clear" w:color="FFFFFF" w:fill="FFFFFF"/>
            <w:vAlign w:val="center"/>
          </w:tcPr>
          <w:p w:rsidR="00CE5B7F" w:rsidRPr="00DC06F2" w:rsidRDefault="000F2D4A">
            <w:pPr>
              <w:jc w:val="center"/>
              <w:rPr>
                <w:rFonts w:eastAsia="times" w:cs="times"/>
              </w:rPr>
            </w:pPr>
            <w:r>
              <w:rPr>
                <w:rFonts w:ascii="times" w:eastAsia="times" w:hAnsi="times" w:cs="times"/>
                <w:sz w:val="28"/>
              </w:rPr>
              <w:t>95,92</w:t>
            </w:r>
            <w:r w:rsidR="00DC06F2">
              <w:rPr>
                <w:rFonts w:eastAsia="times" w:cs="times"/>
                <w:sz w:val="28"/>
              </w:rPr>
              <w:t>%</w:t>
            </w:r>
          </w:p>
        </w:tc>
        <w:tc>
          <w:tcPr>
            <w:tcW w:w="566" w:type="dxa"/>
            <w:shd w:val="clear" w:color="FFFFFF" w:fill="FFFFFF"/>
            <w:vAlign w:val="center"/>
          </w:tcPr>
          <w:p w:rsidR="00CE5B7F" w:rsidRDefault="000F2D4A">
            <w:pPr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sz w:val="28"/>
              </w:rPr>
              <w:t>-</w:t>
            </w:r>
          </w:p>
        </w:tc>
        <w:tc>
          <w:tcPr>
            <w:tcW w:w="1277" w:type="dxa"/>
            <w:shd w:val="clear" w:color="FFFFFF" w:fill="FFFFFF"/>
            <w:vAlign w:val="center"/>
          </w:tcPr>
          <w:p w:rsidR="00CE5B7F" w:rsidRDefault="000F2D4A">
            <w:pPr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sz w:val="28"/>
              </w:rPr>
              <w:t xml:space="preserve">5 </w:t>
            </w:r>
            <w:proofErr w:type="gramStart"/>
            <w:r>
              <w:rPr>
                <w:rFonts w:ascii="times" w:eastAsia="times" w:hAnsi="times" w:cs="times"/>
                <w:sz w:val="28"/>
              </w:rPr>
              <w:t>р</w:t>
            </w:r>
            <w:proofErr w:type="gramEnd"/>
            <w:r>
              <w:rPr>
                <w:rFonts w:ascii="times" w:eastAsia="times" w:hAnsi="times" w:cs="times"/>
                <w:sz w:val="28"/>
              </w:rPr>
              <w:t>/н</w:t>
            </w:r>
          </w:p>
        </w:tc>
        <w:tc>
          <w:tcPr>
            <w:tcW w:w="2126" w:type="dxa"/>
            <w:shd w:val="clear" w:color="FFFFFF" w:fill="FFFFFF"/>
            <w:vAlign w:val="center"/>
          </w:tcPr>
          <w:p w:rsidR="00CE5B7F" w:rsidRDefault="000F2D4A">
            <w:pPr>
              <w:jc w:val="center"/>
            </w:pPr>
            <w:r>
              <w:rPr>
                <w:rFonts w:ascii="times" w:eastAsia="times" w:hAnsi="times" w:cs="times"/>
                <w:sz w:val="28"/>
              </w:rPr>
              <w:t>Минеральные воды</w:t>
            </w:r>
          </w:p>
        </w:tc>
        <w:tc>
          <w:tcPr>
            <w:tcW w:w="994" w:type="dxa"/>
            <w:vAlign w:val="center"/>
          </w:tcPr>
          <w:p w:rsidR="00CE5B7F" w:rsidRDefault="000F2D4A">
            <w:pPr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sz w:val="28"/>
              </w:rPr>
              <w:t>2</w:t>
            </w:r>
          </w:p>
        </w:tc>
      </w:tr>
      <w:tr w:rsidR="00CE5B7F" w:rsidTr="003D027B">
        <w:trPr>
          <w:trHeight w:val="701"/>
        </w:trPr>
        <w:tc>
          <w:tcPr>
            <w:tcW w:w="2169" w:type="dxa"/>
            <w:shd w:val="clear" w:color="FFFFFF" w:fill="FFFFFF"/>
            <w:vAlign w:val="center"/>
          </w:tcPr>
          <w:p w:rsidR="00CE5B7F" w:rsidRDefault="000F2D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</w:rPr>
              <w:t>Азимут</w:t>
            </w:r>
          </w:p>
        </w:tc>
        <w:tc>
          <w:tcPr>
            <w:tcW w:w="709" w:type="dxa"/>
            <w:shd w:val="clear" w:color="FFFFFF" w:fill="FFFFFF"/>
            <w:vAlign w:val="center"/>
          </w:tcPr>
          <w:p w:rsidR="00CE5B7F" w:rsidRDefault="000F2D4A">
            <w:pPr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sz w:val="28"/>
              </w:rPr>
              <w:t>Да</w:t>
            </w:r>
          </w:p>
        </w:tc>
        <w:tc>
          <w:tcPr>
            <w:tcW w:w="850" w:type="dxa"/>
            <w:vAlign w:val="center"/>
          </w:tcPr>
          <w:p w:rsidR="00CE5B7F" w:rsidRDefault="000F2D4A">
            <w:pPr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sz w:val="28"/>
              </w:rPr>
              <w:t>100%</w:t>
            </w:r>
          </w:p>
        </w:tc>
        <w:tc>
          <w:tcPr>
            <w:tcW w:w="851" w:type="dxa"/>
            <w:vAlign w:val="center"/>
          </w:tcPr>
          <w:p w:rsidR="00CE5B7F" w:rsidRDefault="000F2D4A">
            <w:pPr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sz w:val="28"/>
              </w:rPr>
              <w:t>0%</w:t>
            </w:r>
          </w:p>
        </w:tc>
        <w:tc>
          <w:tcPr>
            <w:tcW w:w="1559" w:type="dxa"/>
            <w:shd w:val="clear" w:color="FFFFFF" w:fill="FFFFFF"/>
          </w:tcPr>
          <w:p w:rsidR="00CE5B7F" w:rsidRDefault="000F2D4A">
            <w:pPr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sz w:val="28"/>
              </w:rPr>
              <w:t>0</w:t>
            </w:r>
          </w:p>
        </w:tc>
        <w:tc>
          <w:tcPr>
            <w:tcW w:w="1984" w:type="dxa"/>
            <w:shd w:val="clear" w:color="FFFFFF" w:fill="FFFFFF"/>
          </w:tcPr>
          <w:p w:rsidR="00CE5B7F" w:rsidRDefault="000F2D4A">
            <w:pPr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sz w:val="28"/>
              </w:rPr>
              <w:t>0</w:t>
            </w:r>
          </w:p>
        </w:tc>
        <w:tc>
          <w:tcPr>
            <w:tcW w:w="1983" w:type="dxa"/>
            <w:shd w:val="clear" w:color="FFFFFF" w:fill="FFFFFF"/>
            <w:vAlign w:val="center"/>
          </w:tcPr>
          <w:p w:rsidR="00CE5B7F" w:rsidRPr="003D027B" w:rsidRDefault="003D027B">
            <w:pPr>
              <w:jc w:val="center"/>
              <w:rPr>
                <w:rFonts w:eastAsia="times" w:cs="times"/>
              </w:rPr>
            </w:pPr>
            <w:r>
              <w:rPr>
                <w:rFonts w:ascii="times" w:eastAsia="times" w:hAnsi="times" w:cs="times"/>
                <w:sz w:val="28"/>
              </w:rPr>
              <w:t>0,73</w:t>
            </w:r>
          </w:p>
        </w:tc>
        <w:tc>
          <w:tcPr>
            <w:tcW w:w="1134" w:type="dxa"/>
            <w:shd w:val="clear" w:color="FFFFFF" w:fill="FFFFFF"/>
            <w:vAlign w:val="center"/>
          </w:tcPr>
          <w:p w:rsidR="00CE5B7F" w:rsidRPr="00DC06F2" w:rsidRDefault="000F2D4A">
            <w:pPr>
              <w:jc w:val="center"/>
              <w:rPr>
                <w:rFonts w:eastAsia="times" w:cs="times"/>
              </w:rPr>
            </w:pPr>
            <w:r>
              <w:rPr>
                <w:rFonts w:ascii="times" w:eastAsia="times" w:hAnsi="times" w:cs="times"/>
                <w:sz w:val="28"/>
              </w:rPr>
              <w:t>89,41</w:t>
            </w:r>
            <w:r w:rsidR="00DC06F2">
              <w:rPr>
                <w:rFonts w:eastAsia="times" w:cs="times"/>
                <w:sz w:val="28"/>
              </w:rPr>
              <w:t>%</w:t>
            </w:r>
            <w:bookmarkStart w:id="0" w:name="_GoBack"/>
            <w:bookmarkEnd w:id="0"/>
          </w:p>
        </w:tc>
        <w:tc>
          <w:tcPr>
            <w:tcW w:w="566" w:type="dxa"/>
            <w:shd w:val="clear" w:color="FFFFFF" w:fill="FFFFFF"/>
            <w:vAlign w:val="center"/>
          </w:tcPr>
          <w:p w:rsidR="00CE5B7F" w:rsidRDefault="000F2D4A">
            <w:pPr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sz w:val="28"/>
              </w:rPr>
              <w:t>-</w:t>
            </w:r>
          </w:p>
        </w:tc>
        <w:tc>
          <w:tcPr>
            <w:tcW w:w="1277" w:type="dxa"/>
            <w:shd w:val="clear" w:color="FFFFFF" w:fill="FFFFFF"/>
            <w:vAlign w:val="center"/>
          </w:tcPr>
          <w:p w:rsidR="00CE5B7F" w:rsidRDefault="000F2D4A">
            <w:pPr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sz w:val="28"/>
              </w:rPr>
              <w:t xml:space="preserve">5 </w:t>
            </w:r>
            <w:proofErr w:type="gramStart"/>
            <w:r>
              <w:rPr>
                <w:rFonts w:ascii="times" w:eastAsia="times" w:hAnsi="times" w:cs="times"/>
                <w:sz w:val="28"/>
              </w:rPr>
              <w:t>р</w:t>
            </w:r>
            <w:proofErr w:type="gramEnd"/>
            <w:r>
              <w:rPr>
                <w:rFonts w:ascii="times" w:eastAsia="times" w:hAnsi="times" w:cs="times"/>
                <w:sz w:val="28"/>
              </w:rPr>
              <w:t>/н</w:t>
            </w:r>
          </w:p>
        </w:tc>
        <w:tc>
          <w:tcPr>
            <w:tcW w:w="2126" w:type="dxa"/>
            <w:shd w:val="clear" w:color="FFFFFF" w:fill="FFFFFF"/>
            <w:vAlign w:val="center"/>
          </w:tcPr>
          <w:p w:rsidR="00CE5B7F" w:rsidRDefault="000F2D4A">
            <w:pPr>
              <w:jc w:val="center"/>
            </w:pPr>
            <w:r>
              <w:rPr>
                <w:rFonts w:ascii="times" w:eastAsia="times" w:hAnsi="times" w:cs="times"/>
                <w:sz w:val="28"/>
              </w:rPr>
              <w:t>Минеральные воды</w:t>
            </w:r>
          </w:p>
        </w:tc>
        <w:tc>
          <w:tcPr>
            <w:tcW w:w="994" w:type="dxa"/>
            <w:vAlign w:val="center"/>
          </w:tcPr>
          <w:p w:rsidR="00CE5B7F" w:rsidRDefault="000F2D4A">
            <w:pPr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sz w:val="28"/>
              </w:rPr>
              <w:t>2</w:t>
            </w:r>
          </w:p>
        </w:tc>
      </w:tr>
    </w:tbl>
    <w:p w:rsidR="00CE5B7F" w:rsidRDefault="00CE5B7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CE5B7F" w:rsidRDefault="00CE5B7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CE5B7F" w:rsidRDefault="00CE5B7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CE5B7F" w:rsidRDefault="00CE5B7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CE5B7F" w:rsidRDefault="00CE5B7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CE5B7F" w:rsidRDefault="00CE5B7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CE5B7F" w:rsidRDefault="00CE5B7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CE5B7F" w:rsidRDefault="00CE5B7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CE5B7F" w:rsidRDefault="00CE5B7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CE5B7F" w:rsidRDefault="00CE5B7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CE5B7F" w:rsidRDefault="00CE5B7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CE5B7F" w:rsidRDefault="00CE5B7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CE5B7F" w:rsidRDefault="00CE5B7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CE5B7F" w:rsidRDefault="00CE5B7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CE5B7F" w:rsidRDefault="00CE5B7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CE5B7F" w:rsidRDefault="00CE5B7F">
      <w:pPr>
        <w:pStyle w:val="Style8"/>
        <w:widowControl/>
        <w:spacing w:line="240" w:lineRule="auto"/>
        <w:ind w:firstLine="0"/>
        <w:jc w:val="left"/>
        <w:rPr>
          <w:rStyle w:val="FontStyle17"/>
          <w:b/>
          <w:sz w:val="28"/>
          <w:szCs w:val="28"/>
        </w:rPr>
      </w:pPr>
    </w:p>
    <w:p w:rsidR="00CE5B7F" w:rsidRDefault="000F2D4A">
      <w:pPr>
        <w:pStyle w:val="Style8"/>
        <w:widowControl/>
        <w:spacing w:line="240" w:lineRule="auto"/>
        <w:ind w:firstLine="0"/>
        <w:jc w:val="left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</w:t>
      </w:r>
    </w:p>
    <w:p w:rsidR="00CE5B7F" w:rsidRDefault="000F2D4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ОПИСАНИЕ КРИТЕРИЕВ:</w:t>
      </w:r>
    </w:p>
    <w:p w:rsidR="00CE5B7F" w:rsidRDefault="000F2D4A">
      <w:pPr>
        <w:pStyle w:val="Style7"/>
        <w:widowControl/>
        <w:spacing w:line="240" w:lineRule="auto"/>
        <w:ind w:right="-992"/>
        <w:jc w:val="left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1.</w:t>
      </w:r>
    </w:p>
    <w:p w:rsidR="00CE5B7F" w:rsidRDefault="000F2D4A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Наличие у перевозчика сертификата </w:t>
      </w:r>
      <w:r>
        <w:rPr>
          <w:sz w:val="22"/>
          <w:szCs w:val="22"/>
        </w:rPr>
        <w:t>IOSA по аудиту эксплуатационной безопасности авиакомпаний.</w:t>
      </w:r>
    </w:p>
    <w:p w:rsidR="00CE5B7F" w:rsidRDefault="000F2D4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указано наличие или отсутствие у перевозчика сертификата</w:t>
      </w:r>
      <w:r>
        <w:rPr>
          <w:b/>
          <w:sz w:val="22"/>
          <w:szCs w:val="22"/>
        </w:rPr>
        <w:t xml:space="preserve"> IOSA.</w:t>
      </w:r>
    </w:p>
    <w:p w:rsidR="00CE5B7F" w:rsidRDefault="00CE5B7F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:rsidR="00CE5B7F" w:rsidRDefault="000F2D4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2.</w:t>
      </w:r>
    </w:p>
    <w:p w:rsidR="00CE5B7F" w:rsidRDefault="00CE5B7F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:rsidR="00CE5B7F" w:rsidRDefault="000F2D4A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Использование современных воздушных судов отечественного производства.</w:t>
      </w:r>
    </w:p>
    <w:p w:rsidR="00CE5B7F" w:rsidRDefault="000F2D4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рейсов, выполненных на современных воздушных судах отечественного производства за месяц, предшествующий месяцу проведения заседания, к общему количеству рейсов, выполненных перевозчиком в этот период.</w:t>
      </w:r>
    </w:p>
    <w:p w:rsidR="00CE5B7F" w:rsidRDefault="00CE5B7F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CE5B7F" w:rsidRDefault="000F2D4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3.</w:t>
      </w:r>
    </w:p>
    <w:p w:rsidR="00CE5B7F" w:rsidRDefault="00CE5B7F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CE5B7F" w:rsidRDefault="000F2D4A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Выполнение российскими перевозчиками воздушных перевозок пассажиров внутри Дальневосточного федерального округа.</w:t>
      </w:r>
    </w:p>
    <w:p w:rsidR="00CE5B7F" w:rsidRDefault="000F2D4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рейсов, выполненных внутри Дальневосточного федерального округа, за месяц, предшествующий месяцу проведения заседания комиссии, к общему количеству внутренних рейсов, выполненных перевозчиком в этот период.</w:t>
      </w:r>
    </w:p>
    <w:p w:rsidR="00CE5B7F" w:rsidRDefault="00CE5B7F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CE5B7F" w:rsidRDefault="000F2D4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4.</w:t>
      </w:r>
    </w:p>
    <w:p w:rsidR="00CE5B7F" w:rsidRDefault="000F2D4A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 xml:space="preserve">Оценка уровня безопасности полетов и авиационной безопасности (комплексный критерий, включающий в себя инспекторские предписания и показатели </w:t>
      </w:r>
      <w:r>
        <w:rPr>
          <w:rStyle w:val="FontStyle17"/>
          <w:sz w:val="22"/>
          <w:szCs w:val="22"/>
          <w:lang w:val="en-US"/>
        </w:rPr>
        <w:t>SAFA</w:t>
      </w:r>
      <w:r>
        <w:rPr>
          <w:rStyle w:val="FontStyle17"/>
          <w:sz w:val="22"/>
          <w:szCs w:val="22"/>
        </w:rPr>
        <w:t>).</w:t>
      </w:r>
    </w:p>
    <w:p w:rsidR="00CE5B7F" w:rsidRDefault="000F2D4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не устраненных предписаний выписанных инспекторами </w:t>
      </w:r>
      <w:proofErr w:type="spellStart"/>
      <w:r>
        <w:rPr>
          <w:rStyle w:val="FontStyle17"/>
          <w:b/>
          <w:sz w:val="22"/>
          <w:szCs w:val="22"/>
        </w:rPr>
        <w:t>Ространснадзора</w:t>
      </w:r>
      <w:proofErr w:type="spellEnd"/>
      <w:r>
        <w:rPr>
          <w:rStyle w:val="FontStyle17"/>
          <w:b/>
          <w:sz w:val="22"/>
          <w:szCs w:val="22"/>
        </w:rPr>
        <w:t xml:space="preserve"> и инспекторами  уполномоченного органа в области </w:t>
      </w:r>
      <w:proofErr w:type="gramStart"/>
      <w:r>
        <w:rPr>
          <w:rStyle w:val="FontStyle17"/>
          <w:b/>
          <w:sz w:val="22"/>
          <w:szCs w:val="22"/>
        </w:rPr>
        <w:t>контроля за</w:t>
      </w:r>
      <w:proofErr w:type="gramEnd"/>
      <w:r>
        <w:rPr>
          <w:rStyle w:val="FontStyle17"/>
          <w:b/>
          <w:sz w:val="22"/>
          <w:szCs w:val="22"/>
        </w:rPr>
        <w:t xml:space="preserve"> обеспечением безопасности полетов в гражданской авиации иностранных государств Евросоюза, а также указан коэффициент по итогам рамповых проверок по программе </w:t>
      </w:r>
      <w:r>
        <w:rPr>
          <w:rStyle w:val="FontStyle17"/>
          <w:b/>
          <w:sz w:val="22"/>
          <w:szCs w:val="22"/>
          <w:lang w:val="en-US"/>
        </w:rPr>
        <w:t>SAFA</w:t>
      </w:r>
      <w:r>
        <w:rPr>
          <w:rStyle w:val="FontStyle17"/>
          <w:b/>
          <w:sz w:val="22"/>
          <w:szCs w:val="22"/>
        </w:rPr>
        <w:t>.</w:t>
      </w:r>
    </w:p>
    <w:p w:rsidR="00CE5B7F" w:rsidRDefault="00CE5B7F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CE5B7F" w:rsidRDefault="000F2D4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5.</w:t>
      </w:r>
    </w:p>
    <w:p w:rsidR="00CE5B7F" w:rsidRDefault="000F2D4A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Регулярность полетов.</w:t>
      </w:r>
    </w:p>
    <w:p w:rsidR="00CE5B7F" w:rsidRDefault="000F2D4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выполненных рейсов без задержек отправления за предшествующий месяц.</w:t>
      </w:r>
    </w:p>
    <w:p w:rsidR="00CE5B7F" w:rsidRDefault="00CE5B7F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CE5B7F" w:rsidRDefault="000F2D4A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6.</w:t>
      </w:r>
    </w:p>
    <w:p w:rsidR="00CE5B7F" w:rsidRDefault="000F2D4A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Процент использования имеющихся коммерческих прав.</w:t>
      </w:r>
    </w:p>
    <w:p w:rsidR="00CE5B7F" w:rsidRDefault="000F2D4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выданных перевозчику допусков к выполнению международных регулярных перевозок пассажиров и (или) грузов (за исключением допусков выданных на последних двух комиссиях по допуску перевозчиков и в соответствии с приказами Росавиации) в процентном соотношении с количеством фактически используемых перевозчиком допусков. </w:t>
      </w:r>
    </w:p>
    <w:p w:rsidR="00CE5B7F" w:rsidRDefault="00CE5B7F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CE5B7F" w:rsidRDefault="000F2D4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7.</w:t>
      </w:r>
    </w:p>
    <w:p w:rsidR="00CE5B7F" w:rsidRDefault="000F2D4A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sz w:val="22"/>
          <w:szCs w:val="22"/>
        </w:rPr>
        <w:t>Уровень сервиса, предлагаемого перевозчиком.</w:t>
      </w:r>
    </w:p>
    <w:p w:rsidR="00CE5B7F" w:rsidRDefault="000F2D4A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указана планируемая частота полетов по маршруту, аэропорт вылета/прилета, количество классов обслуживания.</w:t>
      </w:r>
    </w:p>
    <w:p w:rsidR="00CE5B7F" w:rsidRDefault="00CE5B7F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</w:p>
    <w:p w:rsidR="00CE5B7F" w:rsidRDefault="00CE5B7F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CE5B7F" w:rsidRDefault="00CE5B7F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CE5B7F" w:rsidRDefault="00CE5B7F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CE5B7F" w:rsidRDefault="00CE5B7F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CE5B7F" w:rsidRDefault="00CE5B7F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CE5B7F" w:rsidRDefault="00CE5B7F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CE5B7F" w:rsidRDefault="00CE5B7F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CE5B7F" w:rsidRDefault="00CE5B7F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CE5B7F" w:rsidRDefault="000F2D4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  <w:r>
        <w:rPr>
          <w:rStyle w:val="FontStyle17"/>
          <w:b/>
          <w:sz w:val="32"/>
          <w:szCs w:val="32"/>
        </w:rPr>
        <w:t>ОЦЕНОЧНЫЙ ЛИСТ</w:t>
      </w:r>
    </w:p>
    <w:p w:rsidR="00CE5B7F" w:rsidRDefault="00CE5B7F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tbl>
      <w:tblPr>
        <w:tblStyle w:val="aff"/>
        <w:tblW w:w="15881" w:type="dxa"/>
        <w:tblInd w:w="-605" w:type="dxa"/>
        <w:tblLayout w:type="fixed"/>
        <w:tblLook w:val="04A0" w:firstRow="1" w:lastRow="0" w:firstColumn="1" w:lastColumn="0" w:noHBand="0" w:noVBand="1"/>
      </w:tblPr>
      <w:tblGrid>
        <w:gridCol w:w="2471"/>
        <w:gridCol w:w="3912"/>
        <w:gridCol w:w="3544"/>
        <w:gridCol w:w="5954"/>
      </w:tblGrid>
      <w:tr w:rsidR="00CE5B7F" w:rsidTr="003D027B">
        <w:tc>
          <w:tcPr>
            <w:tcW w:w="2471" w:type="dxa"/>
            <w:shd w:val="clear" w:color="auto" w:fill="auto"/>
            <w:vAlign w:val="center"/>
          </w:tcPr>
          <w:p w:rsidR="00CE5B7F" w:rsidRDefault="000F2D4A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Член комиссии</w:t>
            </w:r>
          </w:p>
          <w:p w:rsidR="00CE5B7F" w:rsidRDefault="000F2D4A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Ф.И.О.</w:t>
            </w:r>
          </w:p>
        </w:tc>
        <w:tc>
          <w:tcPr>
            <w:tcW w:w="13410" w:type="dxa"/>
            <w:gridSpan w:val="3"/>
            <w:shd w:val="clear" w:color="auto" w:fill="auto"/>
          </w:tcPr>
          <w:p w:rsidR="00CE5B7F" w:rsidRDefault="00CE5B7F">
            <w:pPr>
              <w:spacing w:after="0" w:line="240" w:lineRule="auto"/>
            </w:pPr>
          </w:p>
        </w:tc>
      </w:tr>
      <w:tr w:rsidR="00CE5B7F" w:rsidTr="003D027B">
        <w:tc>
          <w:tcPr>
            <w:tcW w:w="2471" w:type="dxa"/>
            <w:shd w:val="clear" w:color="auto" w:fill="auto"/>
            <w:vAlign w:val="center"/>
          </w:tcPr>
          <w:p w:rsidR="00CE5B7F" w:rsidRDefault="000F2D4A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Маршрут</w:t>
            </w:r>
          </w:p>
        </w:tc>
        <w:tc>
          <w:tcPr>
            <w:tcW w:w="13410" w:type="dxa"/>
            <w:gridSpan w:val="3"/>
            <w:shd w:val="clear" w:color="auto" w:fill="auto"/>
            <w:vAlign w:val="center"/>
          </w:tcPr>
          <w:p w:rsidR="00CE5B7F" w:rsidRDefault="000F2D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Минеральные Воды - Ташкент</w:t>
            </w:r>
          </w:p>
        </w:tc>
      </w:tr>
      <w:tr w:rsidR="00CE5B7F" w:rsidTr="003D027B">
        <w:tc>
          <w:tcPr>
            <w:tcW w:w="2471" w:type="dxa"/>
            <w:shd w:val="clear" w:color="auto" w:fill="auto"/>
            <w:vAlign w:val="center"/>
          </w:tcPr>
          <w:p w:rsidR="00CE5B7F" w:rsidRDefault="000F2D4A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Раздел и пункты </w:t>
            </w:r>
          </w:p>
          <w:p w:rsidR="00CE5B7F" w:rsidRDefault="000F2D4A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материалов МВК </w:t>
            </w:r>
          </w:p>
        </w:tc>
        <w:tc>
          <w:tcPr>
            <w:tcW w:w="13410" w:type="dxa"/>
            <w:gridSpan w:val="3"/>
            <w:shd w:val="clear" w:color="auto" w:fill="auto"/>
            <w:vAlign w:val="center"/>
          </w:tcPr>
          <w:p w:rsidR="00CE5B7F" w:rsidRDefault="000F2D4A" w:rsidP="003D027B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Раздел 1, пункты: </w:t>
            </w:r>
            <w:r w:rsidR="003D027B">
              <w:rPr>
                <w:rFonts w:ascii="Times New Roman" w:eastAsia="Times New Roman" w:hAnsi="Times New Roman"/>
                <w:sz w:val="24"/>
                <w:szCs w:val="24"/>
              </w:rPr>
              <w:t>37-39</w:t>
            </w:r>
          </w:p>
        </w:tc>
      </w:tr>
      <w:tr w:rsidR="00CE5B7F" w:rsidTr="003D027B">
        <w:trPr>
          <w:trHeight w:val="473"/>
        </w:trPr>
        <w:tc>
          <w:tcPr>
            <w:tcW w:w="2471" w:type="dxa"/>
            <w:vMerge w:val="restart"/>
            <w:shd w:val="clear" w:color="auto" w:fill="auto"/>
            <w:vAlign w:val="center"/>
          </w:tcPr>
          <w:p w:rsidR="00CE5B7F" w:rsidRDefault="000F2D4A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Критерии</w:t>
            </w:r>
          </w:p>
        </w:tc>
        <w:tc>
          <w:tcPr>
            <w:tcW w:w="13410" w:type="dxa"/>
            <w:gridSpan w:val="3"/>
            <w:shd w:val="clear" w:color="auto" w:fill="auto"/>
            <w:vAlign w:val="center"/>
          </w:tcPr>
          <w:p w:rsidR="00CE5B7F" w:rsidRDefault="000F2D4A">
            <w:pPr>
              <w:spacing w:after="0" w:line="240" w:lineRule="auto"/>
            </w:pPr>
            <w:r>
              <w:rPr>
                <w:rStyle w:val="FontStyle17"/>
                <w:b/>
                <w:sz w:val="28"/>
                <w:szCs w:val="28"/>
              </w:rPr>
              <w:t xml:space="preserve">                                                             Наименование перевозчика</w:t>
            </w:r>
          </w:p>
        </w:tc>
      </w:tr>
      <w:tr w:rsidR="003D027B" w:rsidTr="003D027B">
        <w:trPr>
          <w:trHeight w:val="426"/>
        </w:trPr>
        <w:tc>
          <w:tcPr>
            <w:tcW w:w="2471" w:type="dxa"/>
            <w:vMerge/>
            <w:shd w:val="clear" w:color="auto" w:fill="auto"/>
            <w:vAlign w:val="center"/>
          </w:tcPr>
          <w:p w:rsidR="003D027B" w:rsidRDefault="003D027B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</w:p>
        </w:tc>
        <w:tc>
          <w:tcPr>
            <w:tcW w:w="3912" w:type="dxa"/>
            <w:shd w:val="clear" w:color="auto" w:fill="auto"/>
            <w:vAlign w:val="center"/>
          </w:tcPr>
          <w:p w:rsidR="003D027B" w:rsidRDefault="003D0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</w:rPr>
              <w:t>ИрАэро</w:t>
            </w:r>
          </w:p>
        </w:tc>
        <w:tc>
          <w:tcPr>
            <w:tcW w:w="3544" w:type="dxa"/>
            <w:shd w:val="clear" w:color="auto" w:fill="auto"/>
          </w:tcPr>
          <w:p w:rsidR="003D027B" w:rsidRDefault="003D027B">
            <w:pPr>
              <w:jc w:val="center"/>
            </w:pPr>
            <w:proofErr w:type="gramStart"/>
            <w:r>
              <w:rPr>
                <w:rFonts w:ascii="Times New Roman" w:eastAsia="Times New Roman" w:hAnsi="Times New Roman"/>
                <w:b/>
                <w:sz w:val="28"/>
                <w:szCs w:val="24"/>
              </w:rPr>
              <w:t>Ред</w:t>
            </w:r>
            <w:proofErr w:type="gramEnd"/>
            <w:r>
              <w:rPr>
                <w:rFonts w:ascii="Times New Roman" w:eastAsia="Times New Roman" w:hAnsi="Times New Roman"/>
                <w:b/>
                <w:sz w:val="28"/>
                <w:szCs w:val="24"/>
              </w:rPr>
              <w:t xml:space="preserve"> Вингс</w:t>
            </w:r>
          </w:p>
        </w:tc>
        <w:tc>
          <w:tcPr>
            <w:tcW w:w="5954" w:type="dxa"/>
            <w:shd w:val="clear" w:color="FFFFFF" w:fill="FFFFFF"/>
          </w:tcPr>
          <w:p w:rsidR="003D027B" w:rsidRDefault="003D027B">
            <w:pPr>
              <w:jc w:val="center"/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</w:rPr>
              <w:t>Азимут</w:t>
            </w:r>
          </w:p>
        </w:tc>
      </w:tr>
      <w:tr w:rsidR="003D027B" w:rsidTr="003D027B">
        <w:tc>
          <w:tcPr>
            <w:tcW w:w="2471" w:type="dxa"/>
            <w:shd w:val="clear" w:color="auto" w:fill="auto"/>
          </w:tcPr>
          <w:p w:rsidR="003D027B" w:rsidRDefault="003D027B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1</w:t>
            </w:r>
          </w:p>
        </w:tc>
        <w:tc>
          <w:tcPr>
            <w:tcW w:w="3912" w:type="dxa"/>
            <w:shd w:val="clear" w:color="auto" w:fill="auto"/>
          </w:tcPr>
          <w:p w:rsidR="003D027B" w:rsidRDefault="003D027B">
            <w:pPr>
              <w:pStyle w:val="Style7"/>
              <w:widowControl/>
              <w:spacing w:line="240" w:lineRule="auto"/>
              <w:ind w:right="-992"/>
              <w:rPr>
                <w:b/>
              </w:rPr>
            </w:pPr>
          </w:p>
        </w:tc>
        <w:tc>
          <w:tcPr>
            <w:tcW w:w="3544" w:type="dxa"/>
            <w:shd w:val="clear" w:color="auto" w:fill="auto"/>
          </w:tcPr>
          <w:p w:rsidR="003D027B" w:rsidRDefault="003D027B">
            <w:pPr>
              <w:spacing w:after="0" w:line="240" w:lineRule="auto"/>
              <w:jc w:val="center"/>
            </w:pPr>
          </w:p>
        </w:tc>
        <w:tc>
          <w:tcPr>
            <w:tcW w:w="5954" w:type="dxa"/>
            <w:shd w:val="clear" w:color="FFFFFF" w:fill="FFFFFF"/>
          </w:tcPr>
          <w:p w:rsidR="003D027B" w:rsidRDefault="003D027B">
            <w:pPr>
              <w:spacing w:after="0" w:line="240" w:lineRule="auto"/>
              <w:jc w:val="center"/>
            </w:pPr>
          </w:p>
        </w:tc>
      </w:tr>
      <w:tr w:rsidR="003D027B" w:rsidTr="003D027B">
        <w:tc>
          <w:tcPr>
            <w:tcW w:w="2471" w:type="dxa"/>
            <w:shd w:val="clear" w:color="auto" w:fill="auto"/>
          </w:tcPr>
          <w:p w:rsidR="003D027B" w:rsidRDefault="003D027B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2</w:t>
            </w:r>
          </w:p>
        </w:tc>
        <w:tc>
          <w:tcPr>
            <w:tcW w:w="3912" w:type="dxa"/>
            <w:shd w:val="clear" w:color="auto" w:fill="auto"/>
          </w:tcPr>
          <w:p w:rsidR="003D027B" w:rsidRDefault="003D027B">
            <w:pPr>
              <w:pStyle w:val="Style7"/>
              <w:widowControl/>
              <w:spacing w:line="240" w:lineRule="auto"/>
              <w:ind w:right="-992"/>
              <w:rPr>
                <w:b/>
              </w:rPr>
            </w:pPr>
          </w:p>
        </w:tc>
        <w:tc>
          <w:tcPr>
            <w:tcW w:w="3544" w:type="dxa"/>
            <w:shd w:val="clear" w:color="auto" w:fill="auto"/>
          </w:tcPr>
          <w:p w:rsidR="003D027B" w:rsidRDefault="003D027B">
            <w:pPr>
              <w:spacing w:after="0" w:line="240" w:lineRule="auto"/>
              <w:jc w:val="center"/>
            </w:pPr>
          </w:p>
        </w:tc>
        <w:tc>
          <w:tcPr>
            <w:tcW w:w="5954" w:type="dxa"/>
            <w:shd w:val="clear" w:color="FFFFFF" w:fill="FFFFFF"/>
          </w:tcPr>
          <w:p w:rsidR="003D027B" w:rsidRDefault="003D027B">
            <w:pPr>
              <w:spacing w:after="0" w:line="240" w:lineRule="auto"/>
              <w:jc w:val="center"/>
            </w:pPr>
          </w:p>
        </w:tc>
      </w:tr>
      <w:tr w:rsidR="003D027B" w:rsidTr="003D027B">
        <w:tc>
          <w:tcPr>
            <w:tcW w:w="2471" w:type="dxa"/>
            <w:shd w:val="clear" w:color="auto" w:fill="auto"/>
          </w:tcPr>
          <w:p w:rsidR="003D027B" w:rsidRDefault="003D027B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3</w:t>
            </w:r>
          </w:p>
        </w:tc>
        <w:tc>
          <w:tcPr>
            <w:tcW w:w="3912" w:type="dxa"/>
            <w:shd w:val="clear" w:color="auto" w:fill="auto"/>
          </w:tcPr>
          <w:p w:rsidR="003D027B" w:rsidRDefault="003D027B">
            <w:pPr>
              <w:pStyle w:val="Style7"/>
              <w:widowControl/>
              <w:spacing w:line="240" w:lineRule="auto"/>
              <w:ind w:right="-992"/>
              <w:rPr>
                <w:b/>
              </w:rPr>
            </w:pPr>
          </w:p>
        </w:tc>
        <w:tc>
          <w:tcPr>
            <w:tcW w:w="3544" w:type="dxa"/>
            <w:shd w:val="clear" w:color="auto" w:fill="auto"/>
          </w:tcPr>
          <w:p w:rsidR="003D027B" w:rsidRDefault="003D027B">
            <w:pPr>
              <w:spacing w:after="0" w:line="240" w:lineRule="auto"/>
              <w:jc w:val="center"/>
            </w:pPr>
          </w:p>
        </w:tc>
        <w:tc>
          <w:tcPr>
            <w:tcW w:w="5954" w:type="dxa"/>
            <w:shd w:val="clear" w:color="FFFFFF" w:fill="FFFFFF"/>
          </w:tcPr>
          <w:p w:rsidR="003D027B" w:rsidRDefault="003D027B">
            <w:pPr>
              <w:spacing w:after="0" w:line="240" w:lineRule="auto"/>
              <w:jc w:val="center"/>
            </w:pPr>
          </w:p>
        </w:tc>
      </w:tr>
      <w:tr w:rsidR="003D027B" w:rsidTr="003D027B">
        <w:tc>
          <w:tcPr>
            <w:tcW w:w="2471" w:type="dxa"/>
            <w:shd w:val="clear" w:color="auto" w:fill="auto"/>
          </w:tcPr>
          <w:p w:rsidR="003D027B" w:rsidRDefault="003D027B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4</w:t>
            </w:r>
          </w:p>
        </w:tc>
        <w:tc>
          <w:tcPr>
            <w:tcW w:w="3912" w:type="dxa"/>
            <w:shd w:val="clear" w:color="auto" w:fill="auto"/>
          </w:tcPr>
          <w:p w:rsidR="003D027B" w:rsidRDefault="003D027B">
            <w:pPr>
              <w:pStyle w:val="Style7"/>
              <w:widowControl/>
              <w:spacing w:line="240" w:lineRule="auto"/>
              <w:ind w:right="-992"/>
              <w:rPr>
                <w:b/>
              </w:rPr>
            </w:pPr>
          </w:p>
        </w:tc>
        <w:tc>
          <w:tcPr>
            <w:tcW w:w="3544" w:type="dxa"/>
            <w:shd w:val="clear" w:color="auto" w:fill="auto"/>
          </w:tcPr>
          <w:p w:rsidR="003D027B" w:rsidRDefault="003D027B">
            <w:pPr>
              <w:spacing w:after="0" w:line="240" w:lineRule="auto"/>
              <w:jc w:val="center"/>
            </w:pPr>
          </w:p>
        </w:tc>
        <w:tc>
          <w:tcPr>
            <w:tcW w:w="5954" w:type="dxa"/>
            <w:shd w:val="clear" w:color="FFFFFF" w:fill="FFFFFF"/>
          </w:tcPr>
          <w:p w:rsidR="003D027B" w:rsidRDefault="003D027B">
            <w:pPr>
              <w:spacing w:after="0" w:line="240" w:lineRule="auto"/>
              <w:jc w:val="center"/>
            </w:pPr>
          </w:p>
        </w:tc>
      </w:tr>
      <w:tr w:rsidR="003D027B" w:rsidTr="003D027B">
        <w:tc>
          <w:tcPr>
            <w:tcW w:w="2471" w:type="dxa"/>
            <w:shd w:val="clear" w:color="auto" w:fill="auto"/>
          </w:tcPr>
          <w:p w:rsidR="003D027B" w:rsidRDefault="003D027B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5</w:t>
            </w:r>
          </w:p>
        </w:tc>
        <w:tc>
          <w:tcPr>
            <w:tcW w:w="3912" w:type="dxa"/>
            <w:shd w:val="clear" w:color="auto" w:fill="auto"/>
          </w:tcPr>
          <w:p w:rsidR="003D027B" w:rsidRDefault="003D027B">
            <w:pPr>
              <w:pStyle w:val="Style7"/>
              <w:widowControl/>
              <w:spacing w:line="240" w:lineRule="auto"/>
              <w:ind w:right="-992"/>
              <w:rPr>
                <w:b/>
              </w:rPr>
            </w:pPr>
          </w:p>
        </w:tc>
        <w:tc>
          <w:tcPr>
            <w:tcW w:w="3544" w:type="dxa"/>
            <w:shd w:val="clear" w:color="auto" w:fill="auto"/>
          </w:tcPr>
          <w:p w:rsidR="003D027B" w:rsidRDefault="003D027B">
            <w:pPr>
              <w:spacing w:after="0" w:line="240" w:lineRule="auto"/>
              <w:jc w:val="center"/>
            </w:pPr>
          </w:p>
        </w:tc>
        <w:tc>
          <w:tcPr>
            <w:tcW w:w="5954" w:type="dxa"/>
            <w:shd w:val="clear" w:color="FFFFFF" w:fill="FFFFFF"/>
          </w:tcPr>
          <w:p w:rsidR="003D027B" w:rsidRDefault="003D027B">
            <w:pPr>
              <w:spacing w:after="0" w:line="240" w:lineRule="auto"/>
              <w:jc w:val="center"/>
            </w:pPr>
          </w:p>
        </w:tc>
      </w:tr>
      <w:tr w:rsidR="003D027B" w:rsidTr="003D027B">
        <w:tc>
          <w:tcPr>
            <w:tcW w:w="2471" w:type="dxa"/>
            <w:shd w:val="clear" w:color="auto" w:fill="auto"/>
          </w:tcPr>
          <w:p w:rsidR="003D027B" w:rsidRDefault="003D027B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6</w:t>
            </w:r>
          </w:p>
        </w:tc>
        <w:tc>
          <w:tcPr>
            <w:tcW w:w="3912" w:type="dxa"/>
            <w:shd w:val="clear" w:color="auto" w:fill="auto"/>
          </w:tcPr>
          <w:p w:rsidR="003D027B" w:rsidRDefault="003D027B">
            <w:pPr>
              <w:pStyle w:val="Style7"/>
              <w:widowControl/>
              <w:spacing w:line="240" w:lineRule="auto"/>
              <w:ind w:right="-992"/>
              <w:rPr>
                <w:b/>
              </w:rPr>
            </w:pPr>
          </w:p>
        </w:tc>
        <w:tc>
          <w:tcPr>
            <w:tcW w:w="3544" w:type="dxa"/>
            <w:shd w:val="clear" w:color="auto" w:fill="auto"/>
          </w:tcPr>
          <w:p w:rsidR="003D027B" w:rsidRDefault="003D027B">
            <w:pPr>
              <w:spacing w:after="0" w:line="240" w:lineRule="auto"/>
              <w:jc w:val="center"/>
            </w:pPr>
          </w:p>
        </w:tc>
        <w:tc>
          <w:tcPr>
            <w:tcW w:w="5954" w:type="dxa"/>
            <w:shd w:val="clear" w:color="FFFFFF" w:fill="FFFFFF"/>
          </w:tcPr>
          <w:p w:rsidR="003D027B" w:rsidRDefault="003D027B">
            <w:pPr>
              <w:spacing w:after="0" w:line="240" w:lineRule="auto"/>
              <w:jc w:val="center"/>
            </w:pPr>
          </w:p>
        </w:tc>
      </w:tr>
      <w:tr w:rsidR="003D027B" w:rsidTr="003D027B">
        <w:tc>
          <w:tcPr>
            <w:tcW w:w="2471" w:type="dxa"/>
            <w:shd w:val="clear" w:color="auto" w:fill="auto"/>
          </w:tcPr>
          <w:p w:rsidR="003D027B" w:rsidRDefault="003D027B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7</w:t>
            </w:r>
          </w:p>
        </w:tc>
        <w:tc>
          <w:tcPr>
            <w:tcW w:w="3912" w:type="dxa"/>
            <w:shd w:val="clear" w:color="auto" w:fill="auto"/>
          </w:tcPr>
          <w:p w:rsidR="003D027B" w:rsidRDefault="003D027B">
            <w:pPr>
              <w:pStyle w:val="Style7"/>
              <w:widowControl/>
              <w:spacing w:line="240" w:lineRule="auto"/>
              <w:ind w:right="-992"/>
              <w:rPr>
                <w:b/>
              </w:rPr>
            </w:pPr>
          </w:p>
        </w:tc>
        <w:tc>
          <w:tcPr>
            <w:tcW w:w="3544" w:type="dxa"/>
            <w:shd w:val="clear" w:color="auto" w:fill="auto"/>
          </w:tcPr>
          <w:p w:rsidR="003D027B" w:rsidRDefault="003D027B">
            <w:pPr>
              <w:spacing w:after="0" w:line="240" w:lineRule="auto"/>
              <w:jc w:val="center"/>
            </w:pPr>
          </w:p>
        </w:tc>
        <w:tc>
          <w:tcPr>
            <w:tcW w:w="5954" w:type="dxa"/>
            <w:shd w:val="clear" w:color="FFFFFF" w:fill="FFFFFF"/>
          </w:tcPr>
          <w:p w:rsidR="003D027B" w:rsidRDefault="003D027B">
            <w:pPr>
              <w:spacing w:after="0" w:line="240" w:lineRule="auto"/>
              <w:jc w:val="center"/>
            </w:pPr>
          </w:p>
        </w:tc>
      </w:tr>
      <w:tr w:rsidR="003D027B" w:rsidTr="003D027B">
        <w:trPr>
          <w:trHeight w:val="430"/>
        </w:trPr>
        <w:tc>
          <w:tcPr>
            <w:tcW w:w="2471" w:type="dxa"/>
            <w:shd w:val="clear" w:color="auto" w:fill="auto"/>
          </w:tcPr>
          <w:p w:rsidR="003D027B" w:rsidRDefault="003D027B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Сумма баллов</w:t>
            </w:r>
          </w:p>
        </w:tc>
        <w:tc>
          <w:tcPr>
            <w:tcW w:w="3912" w:type="dxa"/>
            <w:shd w:val="clear" w:color="auto" w:fill="auto"/>
          </w:tcPr>
          <w:p w:rsidR="003D027B" w:rsidRDefault="003D027B">
            <w:pPr>
              <w:pStyle w:val="Style7"/>
              <w:widowControl/>
              <w:spacing w:line="240" w:lineRule="auto"/>
              <w:ind w:right="-992"/>
              <w:rPr>
                <w:b/>
              </w:rPr>
            </w:pPr>
          </w:p>
        </w:tc>
        <w:tc>
          <w:tcPr>
            <w:tcW w:w="3544" w:type="dxa"/>
            <w:shd w:val="clear" w:color="auto" w:fill="auto"/>
          </w:tcPr>
          <w:p w:rsidR="003D027B" w:rsidRDefault="003D027B">
            <w:pPr>
              <w:spacing w:after="0" w:line="240" w:lineRule="auto"/>
              <w:jc w:val="center"/>
            </w:pPr>
          </w:p>
        </w:tc>
        <w:tc>
          <w:tcPr>
            <w:tcW w:w="5954" w:type="dxa"/>
            <w:shd w:val="clear" w:color="FFFFFF" w:fill="FFFFFF"/>
          </w:tcPr>
          <w:p w:rsidR="003D027B" w:rsidRDefault="003D027B">
            <w:pPr>
              <w:spacing w:after="0" w:line="240" w:lineRule="auto"/>
              <w:jc w:val="center"/>
            </w:pPr>
          </w:p>
        </w:tc>
      </w:tr>
    </w:tbl>
    <w:p w:rsidR="00CE5B7F" w:rsidRDefault="00CE5B7F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CE5B7F" w:rsidRDefault="00CE5B7F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CE5B7F" w:rsidRDefault="00CE5B7F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CE5B7F" w:rsidRDefault="000F2D4A">
      <w:pPr>
        <w:pStyle w:val="Style7"/>
        <w:widowControl/>
        <w:spacing w:line="240" w:lineRule="auto"/>
        <w:ind w:right="-992"/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«_______________________» 2022 г.                                                                                                   Подпись _____________________________</w:t>
      </w:r>
    </w:p>
    <w:p w:rsidR="00CE5B7F" w:rsidRDefault="00CE5B7F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CE5B7F" w:rsidRDefault="00CE5B7F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CE5B7F" w:rsidRDefault="00CE5B7F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CE5B7F" w:rsidRDefault="00CE5B7F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CE5B7F" w:rsidRDefault="00CE5B7F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CE5B7F" w:rsidRDefault="00CE5B7F">
      <w:pPr>
        <w:pStyle w:val="Style7"/>
        <w:widowControl/>
        <w:spacing w:line="240" w:lineRule="auto"/>
        <w:ind w:right="-992"/>
        <w:jc w:val="both"/>
      </w:pPr>
    </w:p>
    <w:sectPr w:rsidR="00CE5B7F">
      <w:pgSz w:w="16838" w:h="11906" w:orient="landscape"/>
      <w:pgMar w:top="0" w:right="2379" w:bottom="0" w:left="113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8B8" w:rsidRDefault="004558B8">
      <w:pPr>
        <w:spacing w:after="0" w:line="240" w:lineRule="auto"/>
      </w:pPr>
      <w:r>
        <w:separator/>
      </w:r>
    </w:p>
  </w:endnote>
  <w:endnote w:type="continuationSeparator" w:id="0">
    <w:p w:rsidR="004558B8" w:rsidRDefault="00455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8B8" w:rsidRDefault="004558B8">
      <w:pPr>
        <w:spacing w:after="0" w:line="240" w:lineRule="auto"/>
      </w:pPr>
      <w:r>
        <w:separator/>
      </w:r>
    </w:p>
  </w:footnote>
  <w:footnote w:type="continuationSeparator" w:id="0">
    <w:p w:rsidR="004558B8" w:rsidRDefault="004558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B7F"/>
    <w:rsid w:val="000F2D4A"/>
    <w:rsid w:val="003D027B"/>
    <w:rsid w:val="004558B8"/>
    <w:rsid w:val="00CE5B7F"/>
    <w:rsid w:val="00DC0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uiPriority w:val="99"/>
    <w:unhideWhenUsed/>
    <w:rPr>
      <w:color w:val="0000FF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character" w:customStyle="1" w:styleId="FontStyle17">
    <w:name w:val="Font Style17"/>
    <w:basedOn w:val="a0"/>
    <w:qFormat/>
    <w:rPr>
      <w:rFonts w:ascii="Times New Roman" w:hAnsi="Times New Roman" w:cs="Times New Roman"/>
      <w:sz w:val="16"/>
      <w:szCs w:val="16"/>
    </w:rPr>
  </w:style>
  <w:style w:type="character" w:customStyle="1" w:styleId="af7">
    <w:name w:val="Текст выноски Знак"/>
    <w:basedOn w:val="a0"/>
    <w:uiPriority w:val="99"/>
    <w:semiHidden/>
    <w:qFormat/>
    <w:rPr>
      <w:rFonts w:ascii="Tahoma" w:hAnsi="Tahoma" w:cs="Tahoma"/>
      <w:sz w:val="16"/>
      <w:szCs w:val="16"/>
    </w:rPr>
  </w:style>
  <w:style w:type="paragraph" w:customStyle="1" w:styleId="af8">
    <w:name w:val="Заголовок"/>
    <w:basedOn w:val="a"/>
    <w:next w:val="af9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f9">
    <w:name w:val="Body Text"/>
    <w:basedOn w:val="a"/>
    <w:pPr>
      <w:spacing w:after="140"/>
    </w:pPr>
  </w:style>
  <w:style w:type="paragraph" w:styleId="afa">
    <w:name w:val="List"/>
    <w:basedOn w:val="af9"/>
    <w:rPr>
      <w:rFonts w:ascii="PT Astra Serif" w:hAnsi="PT Astra Serif" w:cs="Noto Sans Devanagari"/>
    </w:rPr>
  </w:style>
  <w:style w:type="paragraph" w:styleId="afb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fc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Style7">
    <w:name w:val="Style7"/>
    <w:basedOn w:val="a"/>
    <w:qFormat/>
    <w:pPr>
      <w:widowControl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qFormat/>
    <w:pPr>
      <w:widowControl w:val="0"/>
      <w:spacing w:after="0" w:line="217" w:lineRule="exact"/>
      <w:ind w:firstLine="49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qFormat/>
    <w:pPr>
      <w:widowControl w:val="0"/>
      <w:spacing w:after="0" w:line="219" w:lineRule="exact"/>
      <w:ind w:firstLine="4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qFormat/>
    <w:pPr>
      <w:widowControl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fd">
    <w:name w:val="Balloon Text"/>
    <w:basedOn w:val="a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e">
    <w:name w:val="List Paragraph"/>
    <w:basedOn w:val="a"/>
    <w:uiPriority w:val="34"/>
    <w:qFormat/>
    <w:pPr>
      <w:ind w:left="720"/>
      <w:contextualSpacing/>
    </w:pPr>
  </w:style>
  <w:style w:type="table" w:styleId="aff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uiPriority w:val="99"/>
    <w:unhideWhenUsed/>
    <w:rPr>
      <w:color w:val="0000FF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character" w:customStyle="1" w:styleId="FontStyle17">
    <w:name w:val="Font Style17"/>
    <w:basedOn w:val="a0"/>
    <w:qFormat/>
    <w:rPr>
      <w:rFonts w:ascii="Times New Roman" w:hAnsi="Times New Roman" w:cs="Times New Roman"/>
      <w:sz w:val="16"/>
      <w:szCs w:val="16"/>
    </w:rPr>
  </w:style>
  <w:style w:type="character" w:customStyle="1" w:styleId="af7">
    <w:name w:val="Текст выноски Знак"/>
    <w:basedOn w:val="a0"/>
    <w:uiPriority w:val="99"/>
    <w:semiHidden/>
    <w:qFormat/>
    <w:rPr>
      <w:rFonts w:ascii="Tahoma" w:hAnsi="Tahoma" w:cs="Tahoma"/>
      <w:sz w:val="16"/>
      <w:szCs w:val="16"/>
    </w:rPr>
  </w:style>
  <w:style w:type="paragraph" w:customStyle="1" w:styleId="af8">
    <w:name w:val="Заголовок"/>
    <w:basedOn w:val="a"/>
    <w:next w:val="af9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f9">
    <w:name w:val="Body Text"/>
    <w:basedOn w:val="a"/>
    <w:pPr>
      <w:spacing w:after="140"/>
    </w:pPr>
  </w:style>
  <w:style w:type="paragraph" w:styleId="afa">
    <w:name w:val="List"/>
    <w:basedOn w:val="af9"/>
    <w:rPr>
      <w:rFonts w:ascii="PT Astra Serif" w:hAnsi="PT Astra Serif" w:cs="Noto Sans Devanagari"/>
    </w:rPr>
  </w:style>
  <w:style w:type="paragraph" w:styleId="afb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fc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Style7">
    <w:name w:val="Style7"/>
    <w:basedOn w:val="a"/>
    <w:qFormat/>
    <w:pPr>
      <w:widowControl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qFormat/>
    <w:pPr>
      <w:widowControl w:val="0"/>
      <w:spacing w:after="0" w:line="217" w:lineRule="exact"/>
      <w:ind w:firstLine="49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qFormat/>
    <w:pPr>
      <w:widowControl w:val="0"/>
      <w:spacing w:after="0" w:line="219" w:lineRule="exact"/>
      <w:ind w:firstLine="4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qFormat/>
    <w:pPr>
      <w:widowControl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fd">
    <w:name w:val="Balloon Text"/>
    <w:basedOn w:val="a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e">
    <w:name w:val="List Paragraph"/>
    <w:basedOn w:val="a"/>
    <w:uiPriority w:val="34"/>
    <w:qFormat/>
    <w:pPr>
      <w:ind w:left="720"/>
      <w:contextualSpacing/>
    </w:pPr>
  </w:style>
  <w:style w:type="table" w:styleId="aff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Пунегов Владимир</dc:creator>
  <cp:lastModifiedBy>Голубничий Дмитрий</cp:lastModifiedBy>
  <cp:revision>3</cp:revision>
  <dcterms:created xsi:type="dcterms:W3CDTF">2022-11-17T13:49:00Z</dcterms:created>
  <dcterms:modified xsi:type="dcterms:W3CDTF">2022-11-17T13:54:00Z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